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7033"/>
      </w:tblGrid>
      <w:tr w:rsidR="00716ED8" w14:paraId="3B3D72A9" w14:textId="77777777" w:rsidTr="006A730A">
        <w:trPr>
          <w:trHeight w:val="1648"/>
        </w:trPr>
        <w:tc>
          <w:tcPr>
            <w:tcW w:w="2046" w:type="dxa"/>
          </w:tcPr>
          <w:p w14:paraId="62622B89" w14:textId="63B37C6B" w:rsidR="00716ED8" w:rsidRDefault="00F67E6E" w:rsidP="00ED5584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36142F11" wp14:editId="5F192BD5">
                  <wp:extent cx="99060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0000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8"/>
        <w:gridCol w:w="4642"/>
      </w:tblGrid>
      <w:tr w:rsidR="00716ED8" w14:paraId="4E039AAE" w14:textId="77777777" w:rsidTr="00ED5584">
        <w:trPr>
          <w:jc w:val="center"/>
        </w:trPr>
        <w:tc>
          <w:tcPr>
            <w:tcW w:w="0" w:type="auto"/>
            <w:shd w:val="clear" w:color="auto" w:fill="000099"/>
            <w:vAlign w:val="center"/>
          </w:tcPr>
          <w:p w14:paraId="75AA6DB4" w14:textId="253151ED" w:rsidR="00716ED8" w:rsidRPr="0056091F" w:rsidRDefault="00716ED8" w:rsidP="00125D91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F67E6E">
              <w:rPr>
                <w:rFonts w:ascii="Verdana" w:hAnsi="Verdana"/>
                <w:b/>
                <w:bCs/>
                <w:sz w:val="22"/>
                <w:szCs w:val="22"/>
              </w:rPr>
              <w:t>Decem</w:t>
            </w:r>
            <w:r w:rsidR="00AB209D">
              <w:rPr>
                <w:rFonts w:ascii="Verdana" w:hAnsi="Verdana"/>
                <w:b/>
                <w:bCs/>
                <w:sz w:val="22"/>
                <w:szCs w:val="22"/>
              </w:rPr>
              <w:t>ber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F67E6E">
              <w:rPr>
                <w:rFonts w:ascii="Verdana" w:hAnsi="Verdana"/>
                <w:b/>
                <w:bCs/>
                <w:sz w:val="22"/>
                <w:szCs w:val="22"/>
              </w:rPr>
              <w:t>13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000099"/>
            <w:vAlign w:val="center"/>
          </w:tcPr>
          <w:p w14:paraId="70383645" w14:textId="0F77AB1C" w:rsidR="00716ED8" w:rsidRPr="0056091F" w:rsidRDefault="00716ED8" w:rsidP="008709DB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709DB">
              <w:rPr>
                <w:rFonts w:ascii="Verdana" w:hAnsi="Verdana"/>
                <w:sz w:val="22"/>
                <w:szCs w:val="22"/>
              </w:rPr>
              <w:t>MGCB-media</w:t>
            </w:r>
            <w:r w:rsidR="00E228C6">
              <w:rPr>
                <w:rFonts w:ascii="Verdana" w:hAnsi="Verdana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6B6B7B26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F67E6E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F67E6E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4CE3DEED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5A22D09" w14:textId="560D6010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b/>
          <w:bCs/>
          <w:sz w:val="36"/>
          <w:szCs w:val="36"/>
        </w:rPr>
      </w:pPr>
      <w:r w:rsidRPr="00F67E6E">
        <w:rPr>
          <w:rFonts w:ascii="Arial" w:eastAsia="Calibri" w:hAnsi="Arial" w:cs="Arial"/>
          <w:b/>
          <w:bCs/>
          <w:sz w:val="36"/>
          <w:szCs w:val="36"/>
        </w:rPr>
        <w:t>Detroit casinos report $101.8 million in November monthly aggregate revenue</w:t>
      </w:r>
    </w:p>
    <w:p w14:paraId="20739410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b/>
          <w:bCs/>
          <w:sz w:val="22"/>
          <w:szCs w:val="22"/>
        </w:rPr>
        <w:t>Detroit, Dec. 13, 2022</w:t>
      </w:r>
      <w:r w:rsidRPr="00F67E6E">
        <w:rPr>
          <w:rFonts w:ascii="Arial" w:eastAsia="Calibri" w:hAnsi="Arial" w:cs="Arial"/>
          <w:sz w:val="22"/>
          <w:szCs w:val="22"/>
        </w:rPr>
        <w:t xml:space="preserve"> – The three Detroit casinos reported $101.8 million in monthly aggregate revenue in November. Table games and slots generated $99.9 million in revenue while retail sports betting produced $1.9 million.</w:t>
      </w:r>
    </w:p>
    <w:p w14:paraId="0D03E8FB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Market shares during November were:</w:t>
      </w:r>
    </w:p>
    <w:p w14:paraId="6A0D9D61" w14:textId="77777777" w:rsidR="00F67E6E" w:rsidRPr="00F67E6E" w:rsidRDefault="00F67E6E" w:rsidP="00F67E6E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MGM, 47%</w:t>
      </w:r>
    </w:p>
    <w:p w14:paraId="275B74EC" w14:textId="77777777" w:rsidR="00F67E6E" w:rsidRPr="00F67E6E" w:rsidRDefault="00F67E6E" w:rsidP="00F67E6E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F67E6E">
        <w:rPr>
          <w:rFonts w:ascii="Arial" w:eastAsia="Calibri" w:hAnsi="Arial" w:cs="Arial"/>
          <w:sz w:val="22"/>
          <w:szCs w:val="22"/>
        </w:rPr>
        <w:t>MotorCity</w:t>
      </w:r>
      <w:proofErr w:type="spellEnd"/>
      <w:r w:rsidRPr="00F67E6E">
        <w:rPr>
          <w:rFonts w:ascii="Arial" w:eastAsia="Calibri" w:hAnsi="Arial" w:cs="Arial"/>
          <w:sz w:val="22"/>
          <w:szCs w:val="22"/>
        </w:rPr>
        <w:t>, 30%</w:t>
      </w:r>
    </w:p>
    <w:p w14:paraId="7AA13DAC" w14:textId="77777777" w:rsidR="00F67E6E" w:rsidRPr="00F67E6E" w:rsidRDefault="00F67E6E" w:rsidP="00F67E6E">
      <w:pPr>
        <w:numPr>
          <w:ilvl w:val="0"/>
          <w:numId w:val="13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Hollywood Casino at Greektown, 23%</w:t>
      </w:r>
    </w:p>
    <w:p w14:paraId="2DD53722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16C7FBAE" w14:textId="1560637C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</w:rPr>
      </w:pPr>
      <w:r w:rsidRPr="00F67E6E">
        <w:rPr>
          <w:rFonts w:ascii="Arial" w:eastAsia="Calibri" w:hAnsi="Arial" w:cs="Arial"/>
          <w:b/>
          <w:bCs/>
          <w:sz w:val="22"/>
          <w:szCs w:val="22"/>
        </w:rPr>
        <w:t>Table Games and Slot Revenue</w:t>
      </w:r>
    </w:p>
    <w:p w14:paraId="110EEFFF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Table games and slot revenue declined 3.8% when compared with November 2021 results. Revenue also fell a fractional 0.8% compared with October results. The three casinos’ table games and slots gaming revenue for the first 11 months of the year declined a fractional 0.6% compared with the same period last year.</w:t>
      </w:r>
    </w:p>
    <w:p w14:paraId="0519BC71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 xml:space="preserve">Compared with November 2021, Hollywood Casino at Greektown saw $23.2 million in monthly gaming revenue for a 2.9% gain. Monthly gaming revenue fell both for MGM, down 3.3% to $46.7 million, and </w:t>
      </w:r>
      <w:proofErr w:type="spellStart"/>
      <w:r w:rsidRPr="00F67E6E">
        <w:rPr>
          <w:rFonts w:ascii="Arial" w:eastAsia="Calibri" w:hAnsi="Arial" w:cs="Arial"/>
          <w:sz w:val="22"/>
          <w:szCs w:val="22"/>
        </w:rPr>
        <w:t>MotorCity</w:t>
      </w:r>
      <w:proofErr w:type="spellEnd"/>
      <w:r w:rsidRPr="00F67E6E">
        <w:rPr>
          <w:rFonts w:ascii="Arial" w:eastAsia="Calibri" w:hAnsi="Arial" w:cs="Arial"/>
          <w:sz w:val="22"/>
          <w:szCs w:val="22"/>
        </w:rPr>
        <w:t xml:space="preserve"> Casino, down 9.1% to $30 million.</w:t>
      </w:r>
    </w:p>
    <w:p w14:paraId="475EF45F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 xml:space="preserve">During November, the three Detroit casinos paid $8.1 million in gaming taxes to the State of Michigan compared with $8.4 million paid during the same period last year. </w:t>
      </w:r>
    </w:p>
    <w:p w14:paraId="20D1B8A1" w14:textId="6DF47CBF" w:rsidR="00F67E6E" w:rsidRDefault="00F67E6E" w:rsidP="00F67E6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The three Detroit casinos reported paying $12.4 million in wagering taxes and development agreement payments to the City of Detroit during November.</w:t>
      </w:r>
    </w:p>
    <w:p w14:paraId="57628D9E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</w:p>
    <w:p w14:paraId="28A4C358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</w:rPr>
      </w:pPr>
      <w:r w:rsidRPr="00F67E6E">
        <w:rPr>
          <w:rFonts w:ascii="Arial" w:eastAsia="Calibri" w:hAnsi="Arial" w:cs="Arial"/>
          <w:b/>
          <w:bCs/>
          <w:sz w:val="22"/>
          <w:szCs w:val="22"/>
        </w:rPr>
        <w:lastRenderedPageBreak/>
        <w:t>Retail Sports Betting Revenue and Taxes</w:t>
      </w:r>
    </w:p>
    <w:p w14:paraId="53E6CC0D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November retail sports betting qualified adjusted gross receipts (QAGR) dropped 57% compared with November 2021 results and declined 11.1% from October receipts. Total gross receipts were $1.9 million, and total handle was $18,136,969.</w:t>
      </w:r>
    </w:p>
    <w:p w14:paraId="582EFAB1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November QAGR totals by property were:</w:t>
      </w:r>
    </w:p>
    <w:p w14:paraId="1D544EB1" w14:textId="77777777" w:rsidR="00F67E6E" w:rsidRPr="00F67E6E" w:rsidRDefault="00F67E6E" w:rsidP="00F67E6E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MGM, $807,913</w:t>
      </w:r>
    </w:p>
    <w:p w14:paraId="465B8F7A" w14:textId="77777777" w:rsidR="00F67E6E" w:rsidRPr="00F67E6E" w:rsidRDefault="00F67E6E" w:rsidP="00F67E6E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F67E6E">
        <w:rPr>
          <w:rFonts w:ascii="Arial" w:eastAsia="Calibri" w:hAnsi="Arial" w:cs="Arial"/>
          <w:sz w:val="22"/>
          <w:szCs w:val="22"/>
        </w:rPr>
        <w:t>MotorCity</w:t>
      </w:r>
      <w:proofErr w:type="spellEnd"/>
      <w:r w:rsidRPr="00F67E6E">
        <w:rPr>
          <w:rFonts w:ascii="Arial" w:eastAsia="Calibri" w:hAnsi="Arial" w:cs="Arial"/>
          <w:sz w:val="22"/>
          <w:szCs w:val="22"/>
        </w:rPr>
        <w:t>, $741,222</w:t>
      </w:r>
    </w:p>
    <w:p w14:paraId="419C177B" w14:textId="6B11BFA1" w:rsidR="00F67E6E" w:rsidRDefault="00F67E6E" w:rsidP="00F67E6E">
      <w:pPr>
        <w:numPr>
          <w:ilvl w:val="0"/>
          <w:numId w:val="14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Hollywood Casino at Greektown, $313,884</w:t>
      </w:r>
    </w:p>
    <w:p w14:paraId="22F17515" w14:textId="77777777" w:rsidR="00F67E6E" w:rsidRPr="00F67E6E" w:rsidRDefault="00F67E6E" w:rsidP="00F67E6E">
      <w:pPr>
        <w:spacing w:after="160" w:line="259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14:paraId="1C3DB38F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State taxes from the Detroit casinos were $70,422 compared with $163,625 paid during November 2021.</w:t>
      </w:r>
    </w:p>
    <w:p w14:paraId="061E41AE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The three Detroit casinos reported submitting $86,071 in wagering taxes and development agreement payments to the City of Detroit during November.</w:t>
      </w:r>
    </w:p>
    <w:p w14:paraId="51CA63B0" w14:textId="77777777" w:rsidR="00F67E6E" w:rsidRPr="00F67E6E" w:rsidRDefault="00F67E6E" w:rsidP="00F67E6E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Year-to-date aggregate retail sports betting qualified adjusted gross receipts through Nov. 30 were:</w:t>
      </w:r>
    </w:p>
    <w:p w14:paraId="5C5F289C" w14:textId="77777777" w:rsidR="00F67E6E" w:rsidRPr="00F67E6E" w:rsidRDefault="00F67E6E" w:rsidP="00F67E6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MGM, $5.5 million</w:t>
      </w:r>
    </w:p>
    <w:p w14:paraId="49A5C210" w14:textId="77777777" w:rsidR="00F67E6E" w:rsidRPr="00F67E6E" w:rsidRDefault="00F67E6E" w:rsidP="00F67E6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proofErr w:type="spellStart"/>
      <w:r w:rsidRPr="00F67E6E">
        <w:rPr>
          <w:rFonts w:ascii="Arial" w:eastAsia="Calibri" w:hAnsi="Arial" w:cs="Arial"/>
          <w:sz w:val="22"/>
          <w:szCs w:val="22"/>
        </w:rPr>
        <w:t>MotorCity</w:t>
      </w:r>
      <w:proofErr w:type="spellEnd"/>
      <w:r w:rsidRPr="00F67E6E">
        <w:rPr>
          <w:rFonts w:ascii="Arial" w:eastAsia="Calibri" w:hAnsi="Arial" w:cs="Arial"/>
          <w:sz w:val="22"/>
          <w:szCs w:val="22"/>
        </w:rPr>
        <w:t>, $5 million</w:t>
      </w:r>
    </w:p>
    <w:p w14:paraId="7712AE09" w14:textId="77777777" w:rsidR="00F67E6E" w:rsidRPr="00F67E6E" w:rsidRDefault="00F67E6E" w:rsidP="00F67E6E">
      <w:pPr>
        <w:numPr>
          <w:ilvl w:val="0"/>
          <w:numId w:val="15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Hollywood Casino at Greektown, $6.7 million</w:t>
      </w:r>
    </w:p>
    <w:p w14:paraId="22AB8163" w14:textId="77777777" w:rsidR="00F67E6E" w:rsidRPr="00F67E6E" w:rsidRDefault="00F67E6E" w:rsidP="00F67E6E">
      <w:pPr>
        <w:spacing w:after="160" w:line="259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288F7F05" w14:textId="77777777" w:rsidR="00F67E6E" w:rsidRPr="00F67E6E" w:rsidRDefault="00F67E6E" w:rsidP="00F67E6E">
      <w:pPr>
        <w:spacing w:after="160" w:line="259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F67E6E">
        <w:rPr>
          <w:rFonts w:ascii="Arial" w:eastAsia="Calibri" w:hAnsi="Arial" w:cs="Arial"/>
          <w:b/>
          <w:bCs/>
          <w:sz w:val="22"/>
          <w:szCs w:val="22"/>
        </w:rPr>
        <w:t>Fantasy Contests</w:t>
      </w:r>
    </w:p>
    <w:p w14:paraId="2408A44E" w14:textId="77777777" w:rsidR="00F67E6E" w:rsidRPr="00F67E6E" w:rsidRDefault="00F67E6E" w:rsidP="00F67E6E">
      <w:p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During October, fantasy contest operators reported total adjusted revenues of $1.8 million and paid taxes of $149,075.</w:t>
      </w:r>
    </w:p>
    <w:p w14:paraId="7A9414BB" w14:textId="77777777" w:rsidR="00F67E6E" w:rsidRPr="00F67E6E" w:rsidRDefault="00F67E6E" w:rsidP="00F67E6E">
      <w:p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1DEC4651" w14:textId="77777777" w:rsidR="00F67E6E" w:rsidRPr="00F67E6E" w:rsidRDefault="00F67E6E" w:rsidP="00F67E6E">
      <w:p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F67E6E">
        <w:rPr>
          <w:rFonts w:ascii="Arial" w:eastAsia="Calibri" w:hAnsi="Arial" w:cs="Arial"/>
          <w:sz w:val="22"/>
          <w:szCs w:val="22"/>
        </w:rPr>
        <w:t>Fantasy contest operators reported $13 million in aggregate fantasy contest adjusted revenues and paid $1.1 million in taxes during the first 10 months of the year.</w:t>
      </w:r>
    </w:p>
    <w:p w14:paraId="768E78DC" w14:textId="78CFEA16" w:rsidR="007B62E1" w:rsidRDefault="007B62E1" w:rsidP="007B62E1">
      <w:pPr>
        <w:rPr>
          <w:rFonts w:ascii="Arial" w:hAnsi="Arial" w:cs="Arial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8285B2B"/>
    <w:multiLevelType w:val="hybridMultilevel"/>
    <w:tmpl w:val="A78E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54BF"/>
    <w:multiLevelType w:val="hybridMultilevel"/>
    <w:tmpl w:val="F3B4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62B62"/>
    <w:multiLevelType w:val="hybridMultilevel"/>
    <w:tmpl w:val="1432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32D68"/>
    <w:multiLevelType w:val="hybridMultilevel"/>
    <w:tmpl w:val="6BFC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20948"/>
    <w:multiLevelType w:val="hybridMultilevel"/>
    <w:tmpl w:val="70C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D774E"/>
    <w:multiLevelType w:val="hybridMultilevel"/>
    <w:tmpl w:val="7FCC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3"/>
  </w:num>
  <w:num w:numId="2" w16cid:durableId="1653633024">
    <w:abstractNumId w:val="4"/>
  </w:num>
  <w:num w:numId="3" w16cid:durableId="1772890775">
    <w:abstractNumId w:val="1"/>
  </w:num>
  <w:num w:numId="4" w16cid:durableId="1157501143">
    <w:abstractNumId w:val="11"/>
  </w:num>
  <w:num w:numId="5" w16cid:durableId="118493863">
    <w:abstractNumId w:val="7"/>
  </w:num>
  <w:num w:numId="6" w16cid:durableId="77094850">
    <w:abstractNumId w:val="8"/>
  </w:num>
  <w:num w:numId="7" w16cid:durableId="778531659">
    <w:abstractNumId w:val="12"/>
  </w:num>
  <w:num w:numId="8" w16cid:durableId="50814170">
    <w:abstractNumId w:val="9"/>
  </w:num>
  <w:num w:numId="9" w16cid:durableId="161547160">
    <w:abstractNumId w:val="0"/>
  </w:num>
  <w:num w:numId="10" w16cid:durableId="2057467658">
    <w:abstractNumId w:val="5"/>
  </w:num>
  <w:num w:numId="11" w16cid:durableId="255211429">
    <w:abstractNumId w:val="13"/>
  </w:num>
  <w:num w:numId="12" w16cid:durableId="2031445248">
    <w:abstractNumId w:val="14"/>
  </w:num>
  <w:num w:numId="13" w16cid:durableId="1066537992">
    <w:abstractNumId w:val="10"/>
  </w:num>
  <w:num w:numId="14" w16cid:durableId="517542915">
    <w:abstractNumId w:val="6"/>
  </w:num>
  <w:num w:numId="15" w16cid:durableId="1743331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91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30A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B62E1"/>
    <w:rsid w:val="007D1C56"/>
    <w:rsid w:val="007E1545"/>
    <w:rsid w:val="007F2C80"/>
    <w:rsid w:val="007F47B0"/>
    <w:rsid w:val="007F5418"/>
    <w:rsid w:val="00804693"/>
    <w:rsid w:val="008116E1"/>
    <w:rsid w:val="008170B7"/>
    <w:rsid w:val="008206E8"/>
    <w:rsid w:val="008410C2"/>
    <w:rsid w:val="00854E9D"/>
    <w:rsid w:val="00857A92"/>
    <w:rsid w:val="008633DE"/>
    <w:rsid w:val="008709DB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209D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D5584"/>
    <w:rsid w:val="00EF32BC"/>
    <w:rsid w:val="00F115CC"/>
    <w:rsid w:val="00F40E01"/>
    <w:rsid w:val="00F442A5"/>
    <w:rsid w:val="00F67E6E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3</cp:revision>
  <cp:lastPrinted>2014-01-09T22:05:00Z</cp:lastPrinted>
  <dcterms:created xsi:type="dcterms:W3CDTF">2022-12-07T20:07:00Z</dcterms:created>
  <dcterms:modified xsi:type="dcterms:W3CDTF">2022-12-07T20:08:00Z</dcterms:modified>
</cp:coreProperties>
</file>