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15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964"/>
      </w:tblGrid>
      <w:tr w:rsidR="00716ED8" w14:paraId="3B3D72A9" w14:textId="77777777">
        <w:tc>
          <w:tcPr>
            <w:tcW w:w="2058" w:type="dxa"/>
          </w:tcPr>
          <w:p w14:paraId="62622B89" w14:textId="498BA37F" w:rsidR="00716ED8" w:rsidRDefault="004653EF" w:rsidP="00ED5584">
            <w:pPr>
              <w:jc w:val="center"/>
              <w:rPr>
                <w:rStyle w:val="Hyperlink"/>
              </w:rPr>
            </w:pPr>
            <w:r>
              <w:rPr>
                <w:noProof/>
              </w:rPr>
              <w:drawing>
                <wp:inline distT="0" distB="0" distL="0" distR="0" wp14:anchorId="36142F11" wp14:editId="4DAEE4C8">
                  <wp:extent cx="990600" cy="990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inline>
              </w:drawing>
            </w:r>
          </w:p>
        </w:tc>
        <w:tc>
          <w:tcPr>
            <w:tcW w:w="7518" w:type="dxa"/>
            <w:vAlign w:val="center"/>
          </w:tcPr>
          <w:p w14:paraId="6B2D12F7" w14:textId="77777777" w:rsidR="00716ED8" w:rsidRPr="0056091F" w:rsidRDefault="00716ED8">
            <w:pPr>
              <w:pStyle w:val="Heading2"/>
              <w:framePr w:hSpace="0" w:wrap="auto" w:vAnchor="margin" w:hAnchor="text" w:yAlign="inline"/>
              <w:rPr>
                <w:rStyle w:val="Hyperlink"/>
                <w:rFonts w:ascii="Microsoft Sans Serif" w:hAnsi="Microsoft Sans Serif" w:cs="Microsoft Sans Serif"/>
                <w:sz w:val="52"/>
                <w:szCs w:val="52"/>
              </w:rPr>
            </w:pPr>
            <w:r w:rsidRPr="0056091F">
              <w:rPr>
                <w:rFonts w:ascii="Microsoft Sans Serif" w:hAnsi="Microsoft Sans Serif" w:cs="Microsoft Sans Serif"/>
                <w:sz w:val="52"/>
                <w:szCs w:val="52"/>
              </w:rPr>
              <w:t>PRESS RELEASE</w:t>
            </w:r>
          </w:p>
        </w:tc>
      </w:tr>
    </w:tbl>
    <w:p w14:paraId="3F648AA5" w14:textId="77777777" w:rsidR="00EC47D5" w:rsidRPr="0031474A" w:rsidRDefault="0031474A">
      <w:pPr>
        <w:jc w:val="center"/>
        <w:rPr>
          <w:rFonts w:ascii="Book Antiqua" w:hAnsi="Book Antiqua"/>
          <w:b/>
          <w:color w:val="FF0000"/>
          <w:sz w:val="56"/>
          <w:szCs w:val="56"/>
        </w:rPr>
      </w:pPr>
      <w:r w:rsidRPr="0031474A">
        <w:rPr>
          <w:rFonts w:ascii="Book Antiqua" w:hAnsi="Book Antiqua"/>
          <w:b/>
          <w:color w:val="FF0000"/>
          <w:sz w:val="56"/>
          <w:szCs w:val="56"/>
        </w:rPr>
        <w:t xml:space="preserve"> </w:t>
      </w:r>
    </w:p>
    <w:p w14:paraId="0F27C033" w14:textId="77777777" w:rsidR="00716ED8" w:rsidRPr="008E6C63" w:rsidRDefault="00716ED8">
      <w:pPr>
        <w:jc w:val="center"/>
        <w:rPr>
          <w:rFonts w:ascii="Book Antiqua" w:hAnsi="Book Antiqua"/>
          <w:b/>
          <w:sz w:val="52"/>
        </w:rPr>
      </w:pPr>
      <w:r w:rsidRPr="008E6C63">
        <w:rPr>
          <w:rFonts w:ascii="Book Antiqua" w:hAnsi="Book Antiqua"/>
          <w:b/>
          <w:sz w:val="52"/>
        </w:rPr>
        <w:t>Michigan Gaming Control Board</w:t>
      </w:r>
    </w:p>
    <w:p w14:paraId="0305195B" w14:textId="77777777" w:rsidR="00716ED8" w:rsidRPr="0051102D" w:rsidRDefault="00716ED8">
      <w:pPr>
        <w:rPr>
          <w:rFonts w:ascii="Verdana" w:hAnsi="Verdana"/>
          <w:sz w:val="16"/>
          <w:szCs w:val="16"/>
        </w:rPr>
      </w:pPr>
    </w:p>
    <w:tbl>
      <w:tblPr>
        <w:tblW w:w="5000" w:type="pct"/>
        <w:jc w:val="center"/>
        <w:shd w:val="clear" w:color="auto" w:fill="000099"/>
        <w:tblCellMar>
          <w:top w:w="60" w:type="dxa"/>
          <w:left w:w="60" w:type="dxa"/>
          <w:bottom w:w="60" w:type="dxa"/>
          <w:right w:w="60" w:type="dxa"/>
        </w:tblCellMar>
        <w:tblLook w:val="0000" w:firstRow="0" w:lastRow="0" w:firstColumn="0" w:lastColumn="0" w:noHBand="0" w:noVBand="0"/>
      </w:tblPr>
      <w:tblGrid>
        <w:gridCol w:w="4358"/>
        <w:gridCol w:w="4642"/>
      </w:tblGrid>
      <w:tr w:rsidR="00716ED8" w14:paraId="4E039AAE" w14:textId="77777777" w:rsidTr="00ED5584">
        <w:trPr>
          <w:jc w:val="center"/>
        </w:trPr>
        <w:tc>
          <w:tcPr>
            <w:tcW w:w="0" w:type="auto"/>
            <w:shd w:val="clear" w:color="auto" w:fill="000099"/>
            <w:vAlign w:val="center"/>
          </w:tcPr>
          <w:p w14:paraId="75AA6DB4" w14:textId="0D2D321F" w:rsidR="00716ED8" w:rsidRPr="0056091F" w:rsidRDefault="00716ED8" w:rsidP="00125D91">
            <w:pPr>
              <w:rPr>
                <w:sz w:val="22"/>
                <w:szCs w:val="22"/>
              </w:rPr>
            </w:pPr>
            <w:r w:rsidRPr="0056091F">
              <w:rPr>
                <w:rStyle w:val="Strong"/>
                <w:rFonts w:ascii="Arial" w:hAnsi="Arial" w:cs="Arial"/>
                <w:sz w:val="22"/>
                <w:szCs w:val="22"/>
              </w:rPr>
              <w:t>FOR IMMEDIATE RELEASE:</w:t>
            </w:r>
            <w:r w:rsidRPr="0056091F">
              <w:rPr>
                <w:rStyle w:val="Strong"/>
                <w:sz w:val="22"/>
                <w:szCs w:val="22"/>
              </w:rPr>
              <w:t xml:space="preserve"> </w:t>
            </w:r>
            <w:r w:rsidRPr="0056091F">
              <w:rPr>
                <w:rFonts w:ascii="Arial" w:hAnsi="Arial" w:cs="Arial"/>
                <w:b/>
                <w:bCs/>
                <w:sz w:val="22"/>
                <w:szCs w:val="22"/>
              </w:rPr>
              <w:br/>
            </w:r>
            <w:r w:rsidR="004653EF">
              <w:rPr>
                <w:rFonts w:ascii="Verdana" w:hAnsi="Verdana"/>
                <w:b/>
                <w:bCs/>
                <w:sz w:val="22"/>
                <w:szCs w:val="22"/>
              </w:rPr>
              <w:t>October</w:t>
            </w:r>
            <w:r w:rsidR="00BC0787">
              <w:rPr>
                <w:rFonts w:ascii="Verdana" w:hAnsi="Verdana"/>
                <w:b/>
                <w:bCs/>
                <w:sz w:val="22"/>
                <w:szCs w:val="22"/>
              </w:rPr>
              <w:t xml:space="preserve"> </w:t>
            </w:r>
            <w:r w:rsidR="000A75F3">
              <w:rPr>
                <w:rFonts w:ascii="Verdana" w:hAnsi="Verdana"/>
                <w:b/>
                <w:bCs/>
                <w:sz w:val="22"/>
                <w:szCs w:val="22"/>
              </w:rPr>
              <w:t>12</w:t>
            </w:r>
            <w:r w:rsidR="00BC0787">
              <w:rPr>
                <w:rFonts w:ascii="Verdana" w:hAnsi="Verdana"/>
                <w:b/>
                <w:bCs/>
                <w:sz w:val="22"/>
                <w:szCs w:val="22"/>
              </w:rPr>
              <w:t>,</w:t>
            </w:r>
            <w:r w:rsidR="00B6561B">
              <w:rPr>
                <w:rFonts w:ascii="Verdana" w:hAnsi="Verdana"/>
                <w:b/>
                <w:bCs/>
                <w:sz w:val="22"/>
                <w:szCs w:val="22"/>
              </w:rPr>
              <w:t xml:space="preserve"> 20</w:t>
            </w:r>
            <w:r w:rsidR="00432433">
              <w:rPr>
                <w:rFonts w:ascii="Verdana" w:hAnsi="Verdana"/>
                <w:b/>
                <w:bCs/>
                <w:sz w:val="22"/>
                <w:szCs w:val="22"/>
              </w:rPr>
              <w:t>2</w:t>
            </w:r>
            <w:r w:rsidR="00E21582">
              <w:rPr>
                <w:rFonts w:ascii="Verdana" w:hAnsi="Verdana"/>
                <w:b/>
                <w:bCs/>
                <w:sz w:val="22"/>
                <w:szCs w:val="22"/>
              </w:rPr>
              <w:t>2</w:t>
            </w:r>
          </w:p>
        </w:tc>
        <w:tc>
          <w:tcPr>
            <w:tcW w:w="0" w:type="auto"/>
            <w:shd w:val="clear" w:color="auto" w:fill="000099"/>
            <w:vAlign w:val="center"/>
          </w:tcPr>
          <w:p w14:paraId="70383645" w14:textId="0F77AB1C" w:rsidR="00716ED8" w:rsidRPr="0056091F" w:rsidRDefault="00716ED8" w:rsidP="008709DB">
            <w:pPr>
              <w:pStyle w:val="NormalWeb"/>
              <w:spacing w:before="0" w:beforeAutospacing="0" w:after="0" w:afterAutospacing="0"/>
              <w:jc w:val="right"/>
              <w:rPr>
                <w:sz w:val="22"/>
                <w:szCs w:val="22"/>
              </w:rPr>
            </w:pPr>
            <w:r w:rsidRPr="0056091F">
              <w:rPr>
                <w:rStyle w:val="Strong"/>
                <w:rFonts w:ascii="Arial" w:hAnsi="Arial" w:cs="Arial"/>
                <w:sz w:val="22"/>
                <w:szCs w:val="22"/>
              </w:rPr>
              <w:t>Contact:</w:t>
            </w:r>
            <w:r w:rsidRPr="0056091F">
              <w:rPr>
                <w:rFonts w:ascii="Arial" w:hAnsi="Arial" w:cs="Arial"/>
                <w:b/>
                <w:bCs/>
                <w:sz w:val="22"/>
                <w:szCs w:val="22"/>
              </w:rPr>
              <w:br/>
            </w:r>
            <w:r w:rsidR="008709DB">
              <w:rPr>
                <w:rFonts w:ascii="Verdana" w:hAnsi="Verdana"/>
                <w:sz w:val="22"/>
                <w:szCs w:val="22"/>
              </w:rPr>
              <w:t>MGCB-media</w:t>
            </w:r>
            <w:r w:rsidR="00E228C6">
              <w:rPr>
                <w:rFonts w:ascii="Verdana" w:hAnsi="Verdana"/>
                <w:sz w:val="22"/>
                <w:szCs w:val="22"/>
              </w:rPr>
              <w:t>@michigan.gov</w:t>
            </w:r>
          </w:p>
          <w:p w14:paraId="3786EB74" w14:textId="77777777" w:rsidR="00716ED8" w:rsidRPr="00BC75DD" w:rsidRDefault="00BC75DD">
            <w:pPr>
              <w:pStyle w:val="NormalWeb"/>
              <w:spacing w:before="0" w:beforeAutospacing="0" w:after="0" w:afterAutospacing="0"/>
              <w:jc w:val="right"/>
              <w:rPr>
                <w:rFonts w:ascii="Verdana" w:hAnsi="Verdana"/>
                <w:sz w:val="22"/>
                <w:szCs w:val="22"/>
              </w:rPr>
            </w:pPr>
            <w:r>
              <w:rPr>
                <w:rFonts w:ascii="Verdana" w:hAnsi="Verdana"/>
                <w:sz w:val="22"/>
                <w:szCs w:val="22"/>
              </w:rPr>
              <w:t>www.michigan.gov/mgcb</w:t>
            </w:r>
          </w:p>
        </w:tc>
      </w:tr>
    </w:tbl>
    <w:p w14:paraId="7B51E15F" w14:textId="77777777" w:rsidR="00716ED8" w:rsidRPr="00F442A5" w:rsidRDefault="00716ED8">
      <w:pPr>
        <w:pStyle w:val="NormalWeb"/>
        <w:spacing w:before="0" w:beforeAutospacing="0" w:after="0" w:afterAutospacing="0"/>
        <w:rPr>
          <w:rFonts w:ascii="Book Antiqua" w:hAnsi="Book Antiqua"/>
          <w:sz w:val="16"/>
          <w:szCs w:val="16"/>
        </w:rPr>
      </w:pPr>
    </w:p>
    <w:p w14:paraId="0F3FE364" w14:textId="77777777" w:rsidR="00716ED8" w:rsidRPr="00345C74" w:rsidRDefault="00716ED8">
      <w:pPr>
        <w:pStyle w:val="Heading4"/>
        <w:jc w:val="left"/>
        <w:rPr>
          <w:b w:val="0"/>
          <w:bCs w:val="0"/>
          <w:sz w:val="20"/>
          <w:szCs w:val="20"/>
        </w:rPr>
      </w:pPr>
      <w:r w:rsidRPr="00345C74">
        <w:rPr>
          <w:sz w:val="20"/>
          <w:szCs w:val="20"/>
        </w:rPr>
        <w:t xml:space="preserve">Location: </w:t>
      </w:r>
      <w:r w:rsidRPr="00345C74">
        <w:rPr>
          <w:b w:val="0"/>
          <w:bCs w:val="0"/>
          <w:sz w:val="20"/>
          <w:szCs w:val="20"/>
        </w:rPr>
        <w:t>Cadillac Place, 3062 W. Grand Blvd., L-700 – Detroit</w:t>
      </w:r>
    </w:p>
    <w:p w14:paraId="210319C5" w14:textId="048B1C81" w:rsidR="00716ED8" w:rsidRPr="00345C74" w:rsidRDefault="00716ED8">
      <w:pPr>
        <w:pStyle w:val="NormalWeb"/>
        <w:spacing w:before="0" w:beforeAutospacing="0" w:after="0" w:afterAutospacing="0"/>
        <w:rPr>
          <w:rFonts w:ascii="Book Antiqua" w:hAnsi="Book Antiqua"/>
          <w:sz w:val="20"/>
          <w:szCs w:val="20"/>
        </w:rPr>
      </w:pPr>
      <w:r w:rsidRPr="00345C74">
        <w:rPr>
          <w:rFonts w:ascii="Verdana" w:hAnsi="Verdana"/>
          <w:b/>
          <w:bCs/>
          <w:sz w:val="20"/>
          <w:szCs w:val="20"/>
        </w:rPr>
        <w:t>Time:</w:t>
      </w:r>
      <w:r w:rsidRPr="00345C74">
        <w:rPr>
          <w:rFonts w:ascii="Verdana" w:hAnsi="Verdana"/>
          <w:sz w:val="20"/>
          <w:szCs w:val="20"/>
        </w:rPr>
        <w:t xml:space="preserve"> </w:t>
      </w:r>
      <w:r w:rsidR="000A75F3">
        <w:rPr>
          <w:rFonts w:ascii="Verdana" w:hAnsi="Verdana"/>
          <w:sz w:val="20"/>
          <w:szCs w:val="20"/>
        </w:rPr>
        <w:t>10</w:t>
      </w:r>
      <w:r w:rsidR="00B6561B" w:rsidRPr="00345C74">
        <w:rPr>
          <w:rFonts w:ascii="Verdana" w:hAnsi="Verdana"/>
          <w:sz w:val="20"/>
          <w:szCs w:val="20"/>
        </w:rPr>
        <w:t>:00</w:t>
      </w:r>
      <w:r w:rsidR="00BB4CA4" w:rsidRPr="00345C74">
        <w:rPr>
          <w:rFonts w:ascii="Verdana" w:hAnsi="Verdana"/>
          <w:sz w:val="20"/>
          <w:szCs w:val="20"/>
        </w:rPr>
        <w:t xml:space="preserve"> </w:t>
      </w:r>
      <w:r w:rsidR="000A75F3">
        <w:rPr>
          <w:rFonts w:ascii="Verdana" w:hAnsi="Verdana"/>
          <w:sz w:val="20"/>
          <w:szCs w:val="20"/>
        </w:rPr>
        <w:t>a</w:t>
      </w:r>
      <w:r w:rsidR="00035E72" w:rsidRPr="00345C74">
        <w:rPr>
          <w:rFonts w:ascii="Verdana" w:hAnsi="Verdana"/>
          <w:sz w:val="20"/>
          <w:szCs w:val="20"/>
        </w:rPr>
        <w:t>.</w:t>
      </w:r>
      <w:r w:rsidR="00BB4CA4" w:rsidRPr="00345C74">
        <w:rPr>
          <w:rFonts w:ascii="Verdana" w:hAnsi="Verdana"/>
          <w:sz w:val="20"/>
          <w:szCs w:val="20"/>
        </w:rPr>
        <w:t>m.</w:t>
      </w:r>
      <w:r w:rsidRPr="00345C74">
        <w:rPr>
          <w:rFonts w:ascii="Verdana" w:hAnsi="Verdana"/>
          <w:sz w:val="20"/>
          <w:szCs w:val="20"/>
        </w:rPr>
        <w:t xml:space="preserve"> </w:t>
      </w:r>
    </w:p>
    <w:p w14:paraId="0F005504" w14:textId="77777777" w:rsidR="00966852" w:rsidRPr="00F442A5" w:rsidRDefault="00966852" w:rsidP="002E73D0">
      <w:pPr>
        <w:ind w:left="360"/>
        <w:jc w:val="both"/>
        <w:rPr>
          <w:rFonts w:ascii="Arial" w:eastAsia="Calibri" w:hAnsi="Arial" w:cs="Arial"/>
          <w:b/>
          <w:bCs/>
          <w:sz w:val="16"/>
          <w:szCs w:val="16"/>
        </w:rPr>
      </w:pPr>
    </w:p>
    <w:p w14:paraId="1ACA21A5" w14:textId="77777777" w:rsidR="00B6561B" w:rsidRPr="00345C74" w:rsidRDefault="00B6561B" w:rsidP="00B6561B">
      <w:pPr>
        <w:rPr>
          <w:rFonts w:ascii="Verdana" w:hAnsi="Verdana"/>
          <w:b/>
          <w:sz w:val="20"/>
          <w:szCs w:val="20"/>
        </w:rPr>
      </w:pPr>
      <w:r w:rsidRPr="00345C74">
        <w:rPr>
          <w:rFonts w:ascii="Verdana" w:hAnsi="Verdana"/>
          <w:b/>
          <w:sz w:val="20"/>
          <w:szCs w:val="20"/>
        </w:rPr>
        <w:t>For Immediate Release:</w:t>
      </w:r>
    </w:p>
    <w:p w14:paraId="2CE2A965" w14:textId="10F6C604" w:rsidR="007B62E1" w:rsidRDefault="007B62E1" w:rsidP="007B62E1">
      <w:pPr>
        <w:rPr>
          <w:rFonts w:ascii="Arial" w:hAnsi="Arial" w:cs="Arial"/>
          <w:b/>
          <w:bCs/>
        </w:rPr>
      </w:pPr>
    </w:p>
    <w:p w14:paraId="27758905" w14:textId="5622991E" w:rsidR="004653EF" w:rsidRDefault="004653EF" w:rsidP="004653EF">
      <w:pPr>
        <w:rPr>
          <w:rFonts w:ascii="Arial" w:hAnsi="Arial" w:cs="Arial"/>
          <w:b/>
          <w:bCs/>
          <w:sz w:val="36"/>
          <w:szCs w:val="36"/>
        </w:rPr>
      </w:pPr>
      <w:r w:rsidRPr="004C425D">
        <w:rPr>
          <w:rFonts w:ascii="Arial" w:hAnsi="Arial" w:cs="Arial"/>
          <w:b/>
          <w:bCs/>
          <w:sz w:val="36"/>
          <w:szCs w:val="36"/>
        </w:rPr>
        <w:t>Detroit casinos report $103.4 million monthly aggregate revenue in September; quarterly revenue declines 7%</w:t>
      </w:r>
    </w:p>
    <w:p w14:paraId="0858F888" w14:textId="77777777" w:rsidR="004653EF" w:rsidRPr="004653EF" w:rsidRDefault="004653EF" w:rsidP="004653EF">
      <w:pPr>
        <w:rPr>
          <w:rFonts w:ascii="Arial" w:hAnsi="Arial" w:cs="Arial"/>
          <w:b/>
          <w:bCs/>
          <w:sz w:val="20"/>
          <w:szCs w:val="20"/>
        </w:rPr>
      </w:pPr>
    </w:p>
    <w:p w14:paraId="63163E5C" w14:textId="4BD48970" w:rsidR="004653EF" w:rsidRDefault="004653EF" w:rsidP="004653EF">
      <w:pPr>
        <w:rPr>
          <w:rFonts w:ascii="Arial" w:hAnsi="Arial" w:cs="Arial"/>
        </w:rPr>
      </w:pPr>
      <w:r w:rsidRPr="004C425D">
        <w:rPr>
          <w:rFonts w:ascii="Arial" w:hAnsi="Arial" w:cs="Arial"/>
          <w:b/>
          <w:bCs/>
        </w:rPr>
        <w:t xml:space="preserve">Detroit, Oct. </w:t>
      </w:r>
      <w:r w:rsidR="000A75F3">
        <w:rPr>
          <w:rFonts w:ascii="Arial" w:hAnsi="Arial" w:cs="Arial"/>
          <w:b/>
          <w:bCs/>
        </w:rPr>
        <w:t>12</w:t>
      </w:r>
      <w:r w:rsidRPr="004C425D">
        <w:rPr>
          <w:rFonts w:ascii="Arial" w:hAnsi="Arial" w:cs="Arial"/>
          <w:b/>
          <w:bCs/>
        </w:rPr>
        <w:t>, 2022</w:t>
      </w:r>
      <w:r w:rsidRPr="004C425D">
        <w:rPr>
          <w:rFonts w:ascii="Arial" w:hAnsi="Arial" w:cs="Arial"/>
        </w:rPr>
        <w:t xml:space="preserve"> – The three Detroit casinos reported $103.4 million in monthly aggregate revenue in September. Table games and slots generated $100.8 million in revenue while retail sports betting produced $2.6 million in revenue.</w:t>
      </w:r>
    </w:p>
    <w:p w14:paraId="23CA4F87" w14:textId="77777777" w:rsidR="004653EF" w:rsidRPr="004C425D" w:rsidRDefault="004653EF" w:rsidP="004653EF">
      <w:pPr>
        <w:rPr>
          <w:rFonts w:ascii="Arial" w:hAnsi="Arial" w:cs="Arial"/>
        </w:rPr>
      </w:pPr>
    </w:p>
    <w:p w14:paraId="67633C71" w14:textId="77777777" w:rsidR="004653EF" w:rsidRPr="004C425D" w:rsidRDefault="004653EF" w:rsidP="004653EF">
      <w:pPr>
        <w:rPr>
          <w:rFonts w:ascii="Arial" w:hAnsi="Arial" w:cs="Arial"/>
        </w:rPr>
      </w:pPr>
      <w:r w:rsidRPr="004C425D">
        <w:rPr>
          <w:rFonts w:ascii="Arial" w:hAnsi="Arial" w:cs="Arial"/>
        </w:rPr>
        <w:t>September market shares were:</w:t>
      </w:r>
    </w:p>
    <w:p w14:paraId="65129FE7" w14:textId="77777777" w:rsidR="004653EF" w:rsidRPr="004C425D" w:rsidRDefault="004653EF" w:rsidP="004653EF">
      <w:pPr>
        <w:pStyle w:val="ListParagraph"/>
        <w:numPr>
          <w:ilvl w:val="0"/>
          <w:numId w:val="13"/>
        </w:numPr>
        <w:spacing w:after="160" w:line="259" w:lineRule="auto"/>
        <w:rPr>
          <w:rFonts w:cs="Arial"/>
          <w:sz w:val="24"/>
          <w:szCs w:val="24"/>
        </w:rPr>
      </w:pPr>
      <w:r w:rsidRPr="004C425D">
        <w:rPr>
          <w:rFonts w:cs="Arial"/>
          <w:sz w:val="24"/>
          <w:szCs w:val="24"/>
        </w:rPr>
        <w:t>MGM, 48%</w:t>
      </w:r>
    </w:p>
    <w:p w14:paraId="168D4D7E" w14:textId="77777777" w:rsidR="004653EF" w:rsidRPr="004C425D" w:rsidRDefault="004653EF" w:rsidP="004653EF">
      <w:pPr>
        <w:pStyle w:val="ListParagraph"/>
        <w:numPr>
          <w:ilvl w:val="0"/>
          <w:numId w:val="13"/>
        </w:numPr>
        <w:spacing w:after="160" w:line="259" w:lineRule="auto"/>
        <w:rPr>
          <w:rFonts w:cs="Arial"/>
          <w:sz w:val="24"/>
          <w:szCs w:val="24"/>
        </w:rPr>
      </w:pPr>
      <w:proofErr w:type="spellStart"/>
      <w:r w:rsidRPr="004C425D">
        <w:rPr>
          <w:rFonts w:cs="Arial"/>
          <w:sz w:val="24"/>
          <w:szCs w:val="24"/>
        </w:rPr>
        <w:t>MotorCity</w:t>
      </w:r>
      <w:proofErr w:type="spellEnd"/>
      <w:r w:rsidRPr="004C425D">
        <w:rPr>
          <w:rFonts w:cs="Arial"/>
          <w:sz w:val="24"/>
          <w:szCs w:val="24"/>
        </w:rPr>
        <w:t>, 31%</w:t>
      </w:r>
    </w:p>
    <w:p w14:paraId="45E295D1" w14:textId="77777777" w:rsidR="004653EF" w:rsidRPr="004C425D" w:rsidRDefault="004653EF" w:rsidP="004653EF">
      <w:pPr>
        <w:pStyle w:val="ListParagraph"/>
        <w:numPr>
          <w:ilvl w:val="0"/>
          <w:numId w:val="13"/>
        </w:numPr>
        <w:spacing w:after="160" w:line="259" w:lineRule="auto"/>
        <w:rPr>
          <w:rFonts w:cs="Arial"/>
          <w:sz w:val="24"/>
          <w:szCs w:val="24"/>
        </w:rPr>
      </w:pPr>
      <w:r w:rsidRPr="004C425D">
        <w:rPr>
          <w:rFonts w:cs="Arial"/>
          <w:sz w:val="24"/>
          <w:szCs w:val="24"/>
        </w:rPr>
        <w:t>Hollywood Casino at Greektown, 21%</w:t>
      </w:r>
    </w:p>
    <w:p w14:paraId="209A51DD" w14:textId="77777777" w:rsidR="004653EF" w:rsidRPr="002C112D" w:rsidRDefault="004653EF" w:rsidP="004653EF">
      <w:pPr>
        <w:rPr>
          <w:rFonts w:ascii="Arial" w:hAnsi="Arial" w:cs="Arial"/>
          <w:b/>
          <w:bCs/>
        </w:rPr>
      </w:pPr>
      <w:r w:rsidRPr="002C112D">
        <w:rPr>
          <w:rFonts w:ascii="Arial" w:hAnsi="Arial" w:cs="Arial"/>
          <w:b/>
          <w:bCs/>
        </w:rPr>
        <w:t>September Table Games and Slots Revenue and Taxes</w:t>
      </w:r>
    </w:p>
    <w:p w14:paraId="5B434414" w14:textId="2359A57E" w:rsidR="004653EF" w:rsidRDefault="004653EF" w:rsidP="004653EF">
      <w:pPr>
        <w:rPr>
          <w:rFonts w:ascii="Arial" w:hAnsi="Arial" w:cs="Arial"/>
        </w:rPr>
      </w:pPr>
      <w:r w:rsidRPr="004C425D">
        <w:rPr>
          <w:rFonts w:ascii="Arial" w:hAnsi="Arial" w:cs="Arial"/>
        </w:rPr>
        <w:t>The casinos’ table games and slots revenue fell 5.7% compared with September 2021 results.  Revenue also was down 3.5% from August results.  Year-to-date through Sept. 30, table games and slots revenue increased a fractional 0.8% from results for the same nine-month period last year.</w:t>
      </w:r>
    </w:p>
    <w:p w14:paraId="412E9622" w14:textId="77777777" w:rsidR="004653EF" w:rsidRPr="004C425D" w:rsidRDefault="004653EF" w:rsidP="004653EF">
      <w:pPr>
        <w:rPr>
          <w:rFonts w:ascii="Arial" w:hAnsi="Arial" w:cs="Arial"/>
        </w:rPr>
      </w:pPr>
    </w:p>
    <w:p w14:paraId="3E97A754" w14:textId="5434A66B" w:rsidR="004653EF" w:rsidRDefault="004653EF" w:rsidP="004653EF">
      <w:pPr>
        <w:rPr>
          <w:rFonts w:ascii="Arial" w:hAnsi="Arial" w:cs="Arial"/>
        </w:rPr>
      </w:pPr>
      <w:r w:rsidRPr="004C425D">
        <w:rPr>
          <w:rFonts w:ascii="Arial" w:hAnsi="Arial" w:cs="Arial"/>
        </w:rPr>
        <w:t>Compared with September 2021 results, monthly table games and slots revenue by property was:</w:t>
      </w:r>
    </w:p>
    <w:p w14:paraId="5AFB2937" w14:textId="77777777" w:rsidR="004653EF" w:rsidRPr="004C425D" w:rsidRDefault="004653EF" w:rsidP="004653EF">
      <w:pPr>
        <w:pStyle w:val="ListParagraph"/>
        <w:numPr>
          <w:ilvl w:val="0"/>
          <w:numId w:val="14"/>
        </w:numPr>
        <w:spacing w:after="160" w:line="259" w:lineRule="auto"/>
        <w:rPr>
          <w:rFonts w:cs="Arial"/>
          <w:sz w:val="24"/>
          <w:szCs w:val="24"/>
        </w:rPr>
      </w:pPr>
      <w:r w:rsidRPr="004C425D">
        <w:rPr>
          <w:rFonts w:cs="Arial"/>
          <w:sz w:val="24"/>
          <w:szCs w:val="24"/>
        </w:rPr>
        <w:t>MGM, up a fractional 0.01% to $48.4 million</w:t>
      </w:r>
    </w:p>
    <w:p w14:paraId="70690BCD" w14:textId="77777777" w:rsidR="004653EF" w:rsidRPr="004C425D" w:rsidRDefault="004653EF" w:rsidP="004653EF">
      <w:pPr>
        <w:pStyle w:val="ListParagraph"/>
        <w:numPr>
          <w:ilvl w:val="0"/>
          <w:numId w:val="14"/>
        </w:numPr>
        <w:spacing w:after="160" w:line="259" w:lineRule="auto"/>
        <w:rPr>
          <w:rFonts w:cs="Arial"/>
          <w:sz w:val="24"/>
          <w:szCs w:val="24"/>
        </w:rPr>
      </w:pPr>
      <w:proofErr w:type="spellStart"/>
      <w:r w:rsidRPr="004C425D">
        <w:rPr>
          <w:rFonts w:cs="Arial"/>
          <w:sz w:val="24"/>
          <w:szCs w:val="24"/>
        </w:rPr>
        <w:t>MotorCity</w:t>
      </w:r>
      <w:proofErr w:type="spellEnd"/>
      <w:r w:rsidRPr="004C425D">
        <w:rPr>
          <w:rFonts w:cs="Arial"/>
          <w:sz w:val="24"/>
          <w:szCs w:val="24"/>
        </w:rPr>
        <w:t>, down 14.2% to $31.3 million</w:t>
      </w:r>
    </w:p>
    <w:p w14:paraId="08F6BC19" w14:textId="77777777" w:rsidR="004653EF" w:rsidRPr="004C425D" w:rsidRDefault="004653EF" w:rsidP="004653EF">
      <w:pPr>
        <w:pStyle w:val="ListParagraph"/>
        <w:numPr>
          <w:ilvl w:val="0"/>
          <w:numId w:val="14"/>
        </w:numPr>
        <w:spacing w:after="160" w:line="259" w:lineRule="auto"/>
        <w:rPr>
          <w:rFonts w:cs="Arial"/>
          <w:sz w:val="24"/>
          <w:szCs w:val="24"/>
        </w:rPr>
      </w:pPr>
      <w:r w:rsidRPr="004C425D">
        <w:rPr>
          <w:rFonts w:cs="Arial"/>
          <w:sz w:val="24"/>
          <w:szCs w:val="24"/>
        </w:rPr>
        <w:t>Hollywood Casino at Greektown, down 4.3% to $21.1 million</w:t>
      </w:r>
    </w:p>
    <w:p w14:paraId="7C9AD209" w14:textId="33427B81" w:rsidR="004653EF" w:rsidRDefault="004653EF" w:rsidP="004653EF">
      <w:pPr>
        <w:rPr>
          <w:rFonts w:ascii="Arial" w:hAnsi="Arial" w:cs="Arial"/>
        </w:rPr>
      </w:pPr>
      <w:r w:rsidRPr="004C425D">
        <w:rPr>
          <w:rFonts w:ascii="Arial" w:hAnsi="Arial" w:cs="Arial"/>
        </w:rPr>
        <w:t>During September, the three Detroit casinos paid $8.2 million in gaming taxes to the State of Michigan compared with $8.7 million for the same period last year.</w:t>
      </w:r>
    </w:p>
    <w:p w14:paraId="1888E5F2" w14:textId="77777777" w:rsidR="004653EF" w:rsidRPr="004C425D" w:rsidRDefault="004653EF" w:rsidP="004653EF">
      <w:pPr>
        <w:rPr>
          <w:rFonts w:ascii="Arial" w:hAnsi="Arial" w:cs="Arial"/>
        </w:rPr>
      </w:pPr>
    </w:p>
    <w:p w14:paraId="5A78A3FF" w14:textId="56EA45D6" w:rsidR="004653EF" w:rsidRDefault="004653EF" w:rsidP="004653EF">
      <w:pPr>
        <w:rPr>
          <w:rFonts w:ascii="Arial" w:hAnsi="Arial" w:cs="Arial"/>
        </w:rPr>
      </w:pPr>
      <w:r w:rsidRPr="004C425D">
        <w:rPr>
          <w:rFonts w:ascii="Arial" w:hAnsi="Arial" w:cs="Arial"/>
        </w:rPr>
        <w:lastRenderedPageBreak/>
        <w:t>The three Detroit casinos reported submitting $12.5 million in wagering taxes and development agreement payments to the City of Detroit during September.</w:t>
      </w:r>
    </w:p>
    <w:p w14:paraId="7486032C" w14:textId="77777777" w:rsidR="004653EF" w:rsidRPr="004C425D" w:rsidRDefault="004653EF" w:rsidP="004653EF">
      <w:pPr>
        <w:rPr>
          <w:rFonts w:ascii="Arial" w:hAnsi="Arial" w:cs="Arial"/>
        </w:rPr>
      </w:pPr>
    </w:p>
    <w:p w14:paraId="613849DF" w14:textId="77777777" w:rsidR="004653EF" w:rsidRPr="004C425D" w:rsidRDefault="004653EF" w:rsidP="004653EF">
      <w:pPr>
        <w:rPr>
          <w:rFonts w:ascii="Arial" w:hAnsi="Arial" w:cs="Arial"/>
          <w:b/>
          <w:bCs/>
        </w:rPr>
      </w:pPr>
      <w:r w:rsidRPr="004C425D">
        <w:rPr>
          <w:rFonts w:ascii="Arial" w:hAnsi="Arial" w:cs="Arial"/>
          <w:b/>
          <w:bCs/>
        </w:rPr>
        <w:t>Third Quarter Table Games and Slots Revenue</w:t>
      </w:r>
    </w:p>
    <w:p w14:paraId="4776E0DB" w14:textId="172FE419" w:rsidR="004653EF" w:rsidRDefault="004653EF" w:rsidP="004653EF">
      <w:pPr>
        <w:rPr>
          <w:rFonts w:ascii="Arial" w:hAnsi="Arial" w:cs="Arial"/>
        </w:rPr>
      </w:pPr>
      <w:r w:rsidRPr="004C425D">
        <w:rPr>
          <w:rFonts w:ascii="Arial" w:hAnsi="Arial" w:cs="Arial"/>
        </w:rPr>
        <w:t>The three Detroit casinos reported a 7% decline in aggregate revenue for the third quarter compared with the same period last year. Quarterly gaming revenue by property fell across the board compared with the third quarter of 2021:</w:t>
      </w:r>
    </w:p>
    <w:p w14:paraId="369CFA2A" w14:textId="77777777" w:rsidR="004653EF" w:rsidRPr="004C425D" w:rsidRDefault="004653EF" w:rsidP="004653EF">
      <w:pPr>
        <w:pStyle w:val="ListParagraph"/>
        <w:numPr>
          <w:ilvl w:val="0"/>
          <w:numId w:val="15"/>
        </w:numPr>
        <w:spacing w:after="160" w:line="259" w:lineRule="auto"/>
        <w:rPr>
          <w:rFonts w:cs="Arial"/>
          <w:sz w:val="24"/>
          <w:szCs w:val="24"/>
        </w:rPr>
      </w:pPr>
      <w:r w:rsidRPr="004C425D">
        <w:rPr>
          <w:rFonts w:cs="Arial"/>
          <w:sz w:val="24"/>
          <w:szCs w:val="24"/>
        </w:rPr>
        <w:t xml:space="preserve">MGM, down 2.9% to $150 million </w:t>
      </w:r>
    </w:p>
    <w:p w14:paraId="3F35F779" w14:textId="77777777" w:rsidR="004653EF" w:rsidRPr="004C425D" w:rsidRDefault="004653EF" w:rsidP="004653EF">
      <w:pPr>
        <w:pStyle w:val="ListParagraph"/>
        <w:numPr>
          <w:ilvl w:val="0"/>
          <w:numId w:val="15"/>
        </w:numPr>
        <w:spacing w:after="160" w:line="259" w:lineRule="auto"/>
        <w:rPr>
          <w:rFonts w:cs="Arial"/>
          <w:sz w:val="24"/>
          <w:szCs w:val="24"/>
        </w:rPr>
      </w:pPr>
      <w:proofErr w:type="spellStart"/>
      <w:r w:rsidRPr="004C425D">
        <w:rPr>
          <w:rFonts w:cs="Arial"/>
          <w:sz w:val="24"/>
          <w:szCs w:val="24"/>
        </w:rPr>
        <w:t>MotorCity</w:t>
      </w:r>
      <w:proofErr w:type="spellEnd"/>
      <w:r w:rsidRPr="004C425D">
        <w:rPr>
          <w:rFonts w:cs="Arial"/>
          <w:sz w:val="24"/>
          <w:szCs w:val="24"/>
        </w:rPr>
        <w:t>, down 11.7% to $98.5 million</w:t>
      </w:r>
    </w:p>
    <w:p w14:paraId="1463AB1C" w14:textId="77777777" w:rsidR="004653EF" w:rsidRPr="004C425D" w:rsidRDefault="004653EF" w:rsidP="004653EF">
      <w:pPr>
        <w:pStyle w:val="ListParagraph"/>
        <w:numPr>
          <w:ilvl w:val="0"/>
          <w:numId w:val="15"/>
        </w:numPr>
        <w:spacing w:after="160" w:line="259" w:lineRule="auto"/>
        <w:rPr>
          <w:rFonts w:cs="Arial"/>
          <w:sz w:val="24"/>
          <w:szCs w:val="24"/>
        </w:rPr>
      </w:pPr>
      <w:r w:rsidRPr="004C425D">
        <w:rPr>
          <w:rFonts w:cs="Arial"/>
          <w:sz w:val="24"/>
          <w:szCs w:val="24"/>
        </w:rPr>
        <w:t>Hollywood Casino at Greektown, down 8.8% to $62.8 million</w:t>
      </w:r>
    </w:p>
    <w:p w14:paraId="4EA815F5" w14:textId="0EE9EE20" w:rsidR="004653EF" w:rsidRDefault="004653EF" w:rsidP="004653EF">
      <w:pPr>
        <w:rPr>
          <w:rFonts w:ascii="Arial" w:hAnsi="Arial" w:cs="Arial"/>
        </w:rPr>
      </w:pPr>
      <w:r w:rsidRPr="004C425D">
        <w:rPr>
          <w:rFonts w:ascii="Arial" w:hAnsi="Arial" w:cs="Arial"/>
        </w:rPr>
        <w:t>The three Detroit casinos paid $25.2 million in gaming taxes to the state during the third quarter compared with $27.1 million</w:t>
      </w:r>
      <w:r>
        <w:rPr>
          <w:rFonts w:ascii="Arial" w:hAnsi="Arial" w:cs="Arial"/>
        </w:rPr>
        <w:t xml:space="preserve"> received during</w:t>
      </w:r>
      <w:r w:rsidRPr="004C425D">
        <w:rPr>
          <w:rFonts w:ascii="Arial" w:hAnsi="Arial" w:cs="Arial"/>
        </w:rPr>
        <w:t xml:space="preserve"> the same period last year.</w:t>
      </w:r>
    </w:p>
    <w:p w14:paraId="3F60F76D" w14:textId="77777777" w:rsidR="004653EF" w:rsidRPr="004C425D" w:rsidRDefault="004653EF" w:rsidP="004653EF">
      <w:pPr>
        <w:rPr>
          <w:rFonts w:ascii="Arial" w:hAnsi="Arial" w:cs="Arial"/>
        </w:rPr>
      </w:pPr>
    </w:p>
    <w:p w14:paraId="215F281B" w14:textId="77777777" w:rsidR="004653EF" w:rsidRPr="004C425D" w:rsidRDefault="004653EF" w:rsidP="004653EF">
      <w:pPr>
        <w:rPr>
          <w:rFonts w:ascii="Arial" w:hAnsi="Arial" w:cs="Arial"/>
          <w:b/>
          <w:bCs/>
        </w:rPr>
      </w:pPr>
      <w:r w:rsidRPr="004C425D">
        <w:rPr>
          <w:rFonts w:ascii="Arial" w:hAnsi="Arial" w:cs="Arial"/>
          <w:b/>
          <w:bCs/>
        </w:rPr>
        <w:t>Retail Sports Betting Revenue and Taxes</w:t>
      </w:r>
    </w:p>
    <w:p w14:paraId="5A924DF4" w14:textId="0600D41D" w:rsidR="004653EF" w:rsidRDefault="004653EF" w:rsidP="004653EF">
      <w:pPr>
        <w:rPr>
          <w:rFonts w:ascii="Arial" w:hAnsi="Arial" w:cs="Arial"/>
        </w:rPr>
      </w:pPr>
      <w:r w:rsidRPr="004C425D">
        <w:rPr>
          <w:rFonts w:ascii="Arial" w:hAnsi="Arial" w:cs="Arial"/>
        </w:rPr>
        <w:t>Retail sports betting qualified adjusted gross receipts (QAGR) declined 24.9% during September compared with September 2021 results</w:t>
      </w:r>
      <w:r>
        <w:rPr>
          <w:rFonts w:ascii="Arial" w:hAnsi="Arial" w:cs="Arial"/>
        </w:rPr>
        <w:t xml:space="preserve"> of $3.5 million</w:t>
      </w:r>
      <w:r w:rsidRPr="004C425D">
        <w:rPr>
          <w:rFonts w:ascii="Arial" w:hAnsi="Arial" w:cs="Arial"/>
        </w:rPr>
        <w:t>. QAGR was up 56.3% when compared with August</w:t>
      </w:r>
      <w:r>
        <w:rPr>
          <w:rFonts w:ascii="Arial" w:hAnsi="Arial" w:cs="Arial"/>
        </w:rPr>
        <w:t>’s QAGR of $1.7 million</w:t>
      </w:r>
      <w:r w:rsidRPr="004C425D">
        <w:rPr>
          <w:rFonts w:ascii="Arial" w:hAnsi="Arial" w:cs="Arial"/>
        </w:rPr>
        <w:t>.</w:t>
      </w:r>
    </w:p>
    <w:p w14:paraId="68D602E5" w14:textId="77777777" w:rsidR="004653EF" w:rsidRPr="004C425D" w:rsidRDefault="004653EF" w:rsidP="004653EF">
      <w:pPr>
        <w:rPr>
          <w:rFonts w:ascii="Arial" w:hAnsi="Arial" w:cs="Arial"/>
        </w:rPr>
      </w:pPr>
    </w:p>
    <w:p w14:paraId="39C561AF" w14:textId="753A0B64" w:rsidR="004653EF" w:rsidRDefault="004653EF" w:rsidP="004653EF">
      <w:pPr>
        <w:rPr>
          <w:rFonts w:ascii="Arial" w:hAnsi="Arial" w:cs="Arial"/>
        </w:rPr>
      </w:pPr>
      <w:r w:rsidRPr="004C425D">
        <w:rPr>
          <w:rFonts w:ascii="Arial" w:hAnsi="Arial" w:cs="Arial"/>
        </w:rPr>
        <w:t>September QAGR by property was:</w:t>
      </w:r>
    </w:p>
    <w:p w14:paraId="64413A75" w14:textId="77777777" w:rsidR="004653EF" w:rsidRPr="004C425D" w:rsidRDefault="004653EF" w:rsidP="004653EF">
      <w:pPr>
        <w:pStyle w:val="ListParagraph"/>
        <w:numPr>
          <w:ilvl w:val="0"/>
          <w:numId w:val="16"/>
        </w:numPr>
        <w:spacing w:after="160" w:line="259" w:lineRule="auto"/>
        <w:rPr>
          <w:rFonts w:cs="Arial"/>
          <w:sz w:val="24"/>
          <w:szCs w:val="24"/>
        </w:rPr>
      </w:pPr>
      <w:r w:rsidRPr="004C425D">
        <w:rPr>
          <w:rFonts w:cs="Arial"/>
          <w:sz w:val="24"/>
          <w:szCs w:val="24"/>
        </w:rPr>
        <w:t>MGM, $1,007,935</w:t>
      </w:r>
    </w:p>
    <w:p w14:paraId="356C8A13" w14:textId="77777777" w:rsidR="004653EF" w:rsidRPr="004C425D" w:rsidRDefault="004653EF" w:rsidP="004653EF">
      <w:pPr>
        <w:pStyle w:val="ListParagraph"/>
        <w:numPr>
          <w:ilvl w:val="0"/>
          <w:numId w:val="16"/>
        </w:numPr>
        <w:spacing w:after="160" w:line="259" w:lineRule="auto"/>
        <w:rPr>
          <w:rFonts w:cs="Arial"/>
          <w:sz w:val="24"/>
          <w:szCs w:val="24"/>
        </w:rPr>
      </w:pPr>
      <w:proofErr w:type="spellStart"/>
      <w:r w:rsidRPr="004C425D">
        <w:rPr>
          <w:rFonts w:cs="Arial"/>
          <w:sz w:val="24"/>
          <w:szCs w:val="24"/>
        </w:rPr>
        <w:t>MotorCity</w:t>
      </w:r>
      <w:proofErr w:type="spellEnd"/>
      <w:r w:rsidRPr="004C425D">
        <w:rPr>
          <w:rFonts w:cs="Arial"/>
          <w:sz w:val="24"/>
          <w:szCs w:val="24"/>
        </w:rPr>
        <w:t>, $822,534</w:t>
      </w:r>
    </w:p>
    <w:p w14:paraId="1FF9C023" w14:textId="77777777" w:rsidR="004653EF" w:rsidRPr="004C425D" w:rsidRDefault="004653EF" w:rsidP="004653EF">
      <w:pPr>
        <w:pStyle w:val="ListParagraph"/>
        <w:numPr>
          <w:ilvl w:val="0"/>
          <w:numId w:val="16"/>
        </w:numPr>
        <w:spacing w:after="160" w:line="259" w:lineRule="auto"/>
        <w:rPr>
          <w:rFonts w:cs="Arial"/>
          <w:sz w:val="24"/>
          <w:szCs w:val="24"/>
        </w:rPr>
      </w:pPr>
      <w:r w:rsidRPr="004C425D">
        <w:rPr>
          <w:rFonts w:cs="Arial"/>
          <w:sz w:val="24"/>
          <w:szCs w:val="24"/>
        </w:rPr>
        <w:t>Hollywood Casino at Greektown, $768,912</w:t>
      </w:r>
    </w:p>
    <w:p w14:paraId="4B4CD242" w14:textId="77777777" w:rsidR="004653EF" w:rsidRPr="004C425D" w:rsidRDefault="004653EF" w:rsidP="004653EF">
      <w:pPr>
        <w:rPr>
          <w:rFonts w:ascii="Arial" w:hAnsi="Arial" w:cs="Arial"/>
        </w:rPr>
      </w:pPr>
      <w:r w:rsidRPr="004C425D">
        <w:rPr>
          <w:rFonts w:ascii="Arial" w:hAnsi="Arial" w:cs="Arial"/>
        </w:rPr>
        <w:t>The three Detroit casinos reported total retail sports betting handle of $18,580,437.  Total gross receipts were $2,632,507 for the three retail sportsbook locations.</w:t>
      </w:r>
    </w:p>
    <w:p w14:paraId="5D2B1C1F" w14:textId="342C1053" w:rsidR="004653EF" w:rsidRDefault="004653EF" w:rsidP="004653EF">
      <w:pPr>
        <w:rPr>
          <w:rFonts w:ascii="Arial" w:hAnsi="Arial" w:cs="Arial"/>
        </w:rPr>
      </w:pPr>
      <w:r>
        <w:rPr>
          <w:rFonts w:ascii="Arial" w:hAnsi="Arial" w:cs="Arial"/>
        </w:rPr>
        <w:t>R</w:t>
      </w:r>
      <w:r w:rsidRPr="004C425D">
        <w:rPr>
          <w:rFonts w:ascii="Arial" w:hAnsi="Arial" w:cs="Arial"/>
        </w:rPr>
        <w:t>etail sports betting gaming taxes paid to the State of Michigan were $98,257 compared with $</w:t>
      </w:r>
      <w:r>
        <w:rPr>
          <w:rFonts w:ascii="Arial" w:hAnsi="Arial" w:cs="Arial"/>
        </w:rPr>
        <w:t>130,885</w:t>
      </w:r>
      <w:r w:rsidRPr="004C425D">
        <w:rPr>
          <w:rFonts w:ascii="Arial" w:hAnsi="Arial" w:cs="Arial"/>
        </w:rPr>
        <w:t xml:space="preserve"> paid in September 2021.</w:t>
      </w:r>
    </w:p>
    <w:p w14:paraId="197B1C51" w14:textId="77777777" w:rsidR="004653EF" w:rsidRPr="004C425D" w:rsidRDefault="004653EF" w:rsidP="004653EF">
      <w:pPr>
        <w:rPr>
          <w:rFonts w:ascii="Arial" w:hAnsi="Arial" w:cs="Arial"/>
        </w:rPr>
      </w:pPr>
    </w:p>
    <w:p w14:paraId="59E2AB8D" w14:textId="22FA12F0" w:rsidR="004653EF" w:rsidRDefault="004653EF" w:rsidP="004653EF">
      <w:pPr>
        <w:rPr>
          <w:rFonts w:ascii="Arial" w:hAnsi="Arial" w:cs="Arial"/>
        </w:rPr>
      </w:pPr>
      <w:r w:rsidRPr="004C425D">
        <w:rPr>
          <w:rFonts w:ascii="Arial" w:hAnsi="Arial" w:cs="Arial"/>
        </w:rPr>
        <w:t>The three Detroit casinos reported submitting $120,091 to the City of Detroit in retail sports betting taxes during September.</w:t>
      </w:r>
    </w:p>
    <w:p w14:paraId="6EB54DE9" w14:textId="77777777" w:rsidR="004653EF" w:rsidRPr="004C425D" w:rsidRDefault="004653EF" w:rsidP="004653EF">
      <w:pPr>
        <w:rPr>
          <w:rFonts w:ascii="Arial" w:hAnsi="Arial" w:cs="Arial"/>
        </w:rPr>
      </w:pPr>
    </w:p>
    <w:p w14:paraId="67DC1557" w14:textId="3C7AE3D9" w:rsidR="004653EF" w:rsidRDefault="004653EF" w:rsidP="004653EF">
      <w:pPr>
        <w:rPr>
          <w:rFonts w:ascii="Arial" w:hAnsi="Arial" w:cs="Arial"/>
        </w:rPr>
      </w:pPr>
      <w:r w:rsidRPr="004C425D">
        <w:rPr>
          <w:rFonts w:ascii="Arial" w:hAnsi="Arial" w:cs="Arial"/>
        </w:rPr>
        <w:t>Year to date through Sept. 30, aggregate retail sports betting qualified adjusted gross receipts were:</w:t>
      </w:r>
    </w:p>
    <w:p w14:paraId="5183CD94" w14:textId="77777777" w:rsidR="004653EF" w:rsidRPr="004C425D" w:rsidRDefault="004653EF" w:rsidP="004653EF">
      <w:pPr>
        <w:rPr>
          <w:rFonts w:ascii="Arial" w:hAnsi="Arial" w:cs="Arial"/>
        </w:rPr>
      </w:pPr>
    </w:p>
    <w:p w14:paraId="012B91A3" w14:textId="77777777" w:rsidR="004653EF" w:rsidRPr="004C425D" w:rsidRDefault="004653EF" w:rsidP="004653EF">
      <w:pPr>
        <w:pStyle w:val="ListParagraph"/>
        <w:numPr>
          <w:ilvl w:val="0"/>
          <w:numId w:val="17"/>
        </w:numPr>
        <w:spacing w:after="160" w:line="259" w:lineRule="auto"/>
        <w:rPr>
          <w:rFonts w:cs="Arial"/>
          <w:sz w:val="24"/>
          <w:szCs w:val="24"/>
        </w:rPr>
      </w:pPr>
      <w:r w:rsidRPr="004C425D">
        <w:rPr>
          <w:rFonts w:cs="Arial"/>
          <w:sz w:val="24"/>
          <w:szCs w:val="24"/>
        </w:rPr>
        <w:t>MGM, $4 million</w:t>
      </w:r>
    </w:p>
    <w:p w14:paraId="7F7EC452" w14:textId="77777777" w:rsidR="004653EF" w:rsidRPr="004C425D" w:rsidRDefault="004653EF" w:rsidP="004653EF">
      <w:pPr>
        <w:pStyle w:val="ListParagraph"/>
        <w:numPr>
          <w:ilvl w:val="0"/>
          <w:numId w:val="17"/>
        </w:numPr>
        <w:spacing w:after="160" w:line="259" w:lineRule="auto"/>
        <w:rPr>
          <w:rFonts w:cs="Arial"/>
          <w:sz w:val="24"/>
          <w:szCs w:val="24"/>
        </w:rPr>
      </w:pPr>
      <w:proofErr w:type="spellStart"/>
      <w:r w:rsidRPr="004C425D">
        <w:rPr>
          <w:rFonts w:cs="Arial"/>
          <w:sz w:val="24"/>
          <w:szCs w:val="24"/>
        </w:rPr>
        <w:t>MotorCity</w:t>
      </w:r>
      <w:proofErr w:type="spellEnd"/>
      <w:r w:rsidRPr="004C425D">
        <w:rPr>
          <w:rFonts w:cs="Arial"/>
          <w:sz w:val="24"/>
          <w:szCs w:val="24"/>
        </w:rPr>
        <w:t>, $3.6 million</w:t>
      </w:r>
    </w:p>
    <w:p w14:paraId="3D3E8124" w14:textId="77777777" w:rsidR="004653EF" w:rsidRPr="004C425D" w:rsidRDefault="004653EF" w:rsidP="004653EF">
      <w:pPr>
        <w:pStyle w:val="ListParagraph"/>
        <w:numPr>
          <w:ilvl w:val="0"/>
          <w:numId w:val="17"/>
        </w:numPr>
        <w:spacing w:after="160" w:line="259" w:lineRule="auto"/>
        <w:rPr>
          <w:rFonts w:cs="Arial"/>
          <w:sz w:val="24"/>
          <w:szCs w:val="24"/>
        </w:rPr>
      </w:pPr>
      <w:r w:rsidRPr="004C425D">
        <w:rPr>
          <w:rFonts w:cs="Arial"/>
          <w:sz w:val="24"/>
          <w:szCs w:val="24"/>
        </w:rPr>
        <w:t>Hollywood Casino at Greektown, $5.7 million</w:t>
      </w:r>
    </w:p>
    <w:p w14:paraId="21ED1121" w14:textId="77777777" w:rsidR="004653EF" w:rsidRPr="004C425D" w:rsidRDefault="004653EF" w:rsidP="004653EF">
      <w:pPr>
        <w:rPr>
          <w:rFonts w:ascii="Arial" w:hAnsi="Arial" w:cs="Arial"/>
          <w:b/>
          <w:bCs/>
        </w:rPr>
      </w:pPr>
      <w:r w:rsidRPr="004C425D">
        <w:rPr>
          <w:rFonts w:ascii="Arial" w:hAnsi="Arial" w:cs="Arial"/>
          <w:b/>
          <w:bCs/>
        </w:rPr>
        <w:t>Fantasy Contests</w:t>
      </w:r>
    </w:p>
    <w:p w14:paraId="1EB6EAAB" w14:textId="48728720" w:rsidR="004653EF" w:rsidRDefault="004653EF" w:rsidP="004653EF">
      <w:pPr>
        <w:rPr>
          <w:rFonts w:ascii="Arial" w:hAnsi="Arial" w:cs="Arial"/>
        </w:rPr>
      </w:pPr>
      <w:r w:rsidRPr="004C425D">
        <w:rPr>
          <w:rFonts w:ascii="Arial" w:hAnsi="Arial" w:cs="Arial"/>
        </w:rPr>
        <w:t>During August, fantasy contest operators reported total adjusted revenues of $1.2 million and paid taxes of $100,964.</w:t>
      </w:r>
    </w:p>
    <w:p w14:paraId="6CB6A0BA" w14:textId="77777777" w:rsidR="004653EF" w:rsidRPr="004C425D" w:rsidRDefault="004653EF" w:rsidP="004653EF">
      <w:pPr>
        <w:rPr>
          <w:rFonts w:ascii="Arial" w:hAnsi="Arial" w:cs="Arial"/>
        </w:rPr>
      </w:pPr>
    </w:p>
    <w:p w14:paraId="6A556721" w14:textId="77777777" w:rsidR="004653EF" w:rsidRPr="004C425D" w:rsidRDefault="004653EF" w:rsidP="004653EF">
      <w:pPr>
        <w:rPr>
          <w:rFonts w:ascii="Arial" w:hAnsi="Arial" w:cs="Arial"/>
        </w:rPr>
      </w:pPr>
      <w:r w:rsidRPr="004C425D">
        <w:rPr>
          <w:rFonts w:ascii="Arial" w:hAnsi="Arial" w:cs="Arial"/>
        </w:rPr>
        <w:t>For the first eight months of 2022, fantasy contest operators reported $9.7 million aggregate fantasy contest adjusted revenues and paid taxes totaling $817,505.</w:t>
      </w:r>
    </w:p>
    <w:p w14:paraId="696241FD" w14:textId="77777777" w:rsidR="004653EF" w:rsidRPr="004C425D" w:rsidRDefault="004653EF" w:rsidP="004653EF">
      <w:pPr>
        <w:rPr>
          <w:rFonts w:ascii="Arial" w:hAnsi="Arial" w:cs="Arial"/>
        </w:rPr>
      </w:pPr>
    </w:p>
    <w:p w14:paraId="768E78DC" w14:textId="77777777" w:rsidR="007B62E1" w:rsidRDefault="007B62E1" w:rsidP="007B62E1">
      <w:pPr>
        <w:rPr>
          <w:rFonts w:ascii="Arial" w:hAnsi="Arial" w:cs="Arial"/>
        </w:rPr>
      </w:pPr>
    </w:p>
    <w:p w14:paraId="67F17CAC" w14:textId="77777777" w:rsidR="00345C74" w:rsidRPr="0051102D" w:rsidRDefault="00345C74" w:rsidP="00345C74">
      <w:pPr>
        <w:rPr>
          <w:rFonts w:ascii="Arial" w:hAnsi="Arial" w:cs="Arial"/>
          <w:sz w:val="16"/>
          <w:szCs w:val="16"/>
        </w:rPr>
      </w:pPr>
    </w:p>
    <w:p w14:paraId="07AFB230" w14:textId="77777777" w:rsidR="0051102D" w:rsidRDefault="00345C74" w:rsidP="0051102D">
      <w:pPr>
        <w:rPr>
          <w:rStyle w:val="Emphasis"/>
          <w:rFonts w:ascii="Arial" w:hAnsi="Arial" w:cs="Arial"/>
          <w:color w:val="333333"/>
          <w:sz w:val="16"/>
          <w:szCs w:val="16"/>
          <w:lang w:val="en"/>
        </w:rPr>
      </w:pPr>
      <w:r w:rsidRPr="0051102D">
        <w:rPr>
          <w:color w:val="333333"/>
          <w:sz w:val="16"/>
          <w:szCs w:val="16"/>
          <w:lang w:val="en"/>
        </w:rPr>
        <w:t>"</w:t>
      </w:r>
      <w:r w:rsidRPr="0051102D">
        <w:rPr>
          <w:rStyle w:val="Emphasis"/>
          <w:rFonts w:ascii="Arial" w:hAnsi="Arial" w:cs="Arial"/>
          <w:color w:val="333333"/>
          <w:sz w:val="16"/>
          <w:szCs w:val="16"/>
          <w:lang w:val="en"/>
        </w:rPr>
        <w:t>The Michigan Gaming Control Board shall ensure the conduct of fair and honest gaming to protect the interests of the citizens of the State of Michigan."</w:t>
      </w:r>
    </w:p>
    <w:p w14:paraId="3F0713FF" w14:textId="752AD80F" w:rsidR="0031474A" w:rsidRPr="0051102D" w:rsidRDefault="0031474A" w:rsidP="0051102D">
      <w:pPr>
        <w:jc w:val="center"/>
        <w:rPr>
          <w:rFonts w:ascii="Arial" w:eastAsia="Calibri" w:hAnsi="Arial" w:cs="Arial"/>
          <w:sz w:val="16"/>
          <w:szCs w:val="16"/>
        </w:rPr>
      </w:pPr>
      <w:r w:rsidRPr="0051102D">
        <w:rPr>
          <w:rFonts w:ascii="Arial" w:eastAsia="Calibri" w:hAnsi="Arial" w:cs="Arial"/>
          <w:sz w:val="16"/>
          <w:szCs w:val="16"/>
        </w:rPr>
        <w:t>####</w:t>
      </w:r>
    </w:p>
    <w:sectPr w:rsidR="0031474A" w:rsidRPr="0051102D" w:rsidSect="00966852">
      <w:pgSz w:w="12240" w:h="15840" w:code="1"/>
      <w:pgMar w:top="720" w:right="1440" w:bottom="994" w:left="1800" w:header="288" w:footer="288" w:gutter="0"/>
      <w:cols w:space="720"/>
      <w:docGrid w:linePitch="2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5B261" w14:textId="77777777" w:rsidR="00854E9D" w:rsidRDefault="00854E9D">
      <w:r>
        <w:separator/>
      </w:r>
    </w:p>
  </w:endnote>
  <w:endnote w:type="continuationSeparator" w:id="0">
    <w:p w14:paraId="57D40854" w14:textId="77777777" w:rsidR="00854E9D" w:rsidRDefault="0085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ECF60" w14:textId="77777777" w:rsidR="00854E9D" w:rsidRDefault="00854E9D">
      <w:r>
        <w:separator/>
      </w:r>
    </w:p>
  </w:footnote>
  <w:footnote w:type="continuationSeparator" w:id="0">
    <w:p w14:paraId="2FAB7106" w14:textId="77777777" w:rsidR="00854E9D" w:rsidRDefault="00854E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0292"/>
    <w:multiLevelType w:val="hybridMultilevel"/>
    <w:tmpl w:val="128E2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52FF1"/>
    <w:multiLevelType w:val="hybridMultilevel"/>
    <w:tmpl w:val="DB62BDF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2" w15:restartNumberingAfterBreak="0">
    <w:nsid w:val="0D396F41"/>
    <w:multiLevelType w:val="hybridMultilevel"/>
    <w:tmpl w:val="A80A0DD2"/>
    <w:lvl w:ilvl="0" w:tplc="311A128C">
      <w:start w:val="1"/>
      <w:numFmt w:val="bullet"/>
      <w:lvlText w:val=""/>
      <w:lvlJc w:val="left"/>
      <w:pPr>
        <w:tabs>
          <w:tab w:val="num" w:pos="3078"/>
        </w:tabs>
        <w:ind w:left="3078" w:hanging="360"/>
      </w:pPr>
      <w:rPr>
        <w:rFonts w:ascii="Symbol" w:hAnsi="Symbol" w:hint="default"/>
        <w:color w:val="000000"/>
      </w:rPr>
    </w:lvl>
    <w:lvl w:ilvl="1" w:tplc="04090003" w:tentative="1">
      <w:start w:val="1"/>
      <w:numFmt w:val="bullet"/>
      <w:lvlText w:val="o"/>
      <w:lvlJc w:val="left"/>
      <w:pPr>
        <w:tabs>
          <w:tab w:val="num" w:pos="1518"/>
        </w:tabs>
        <w:ind w:left="1518" w:hanging="360"/>
      </w:pPr>
      <w:rPr>
        <w:rFonts w:ascii="Courier New" w:hAnsi="Courier New" w:hint="default"/>
      </w:rPr>
    </w:lvl>
    <w:lvl w:ilvl="2" w:tplc="04090005" w:tentative="1">
      <w:start w:val="1"/>
      <w:numFmt w:val="bullet"/>
      <w:lvlText w:val=""/>
      <w:lvlJc w:val="left"/>
      <w:pPr>
        <w:tabs>
          <w:tab w:val="num" w:pos="2238"/>
        </w:tabs>
        <w:ind w:left="2238" w:hanging="360"/>
      </w:pPr>
      <w:rPr>
        <w:rFonts w:ascii="Wingdings" w:hAnsi="Wingdings" w:hint="default"/>
      </w:rPr>
    </w:lvl>
    <w:lvl w:ilvl="3" w:tplc="04090001" w:tentative="1">
      <w:start w:val="1"/>
      <w:numFmt w:val="bullet"/>
      <w:lvlText w:val=""/>
      <w:lvlJc w:val="left"/>
      <w:pPr>
        <w:tabs>
          <w:tab w:val="num" w:pos="2958"/>
        </w:tabs>
        <w:ind w:left="2958" w:hanging="360"/>
      </w:pPr>
      <w:rPr>
        <w:rFonts w:ascii="Symbol" w:hAnsi="Symbol" w:hint="default"/>
      </w:rPr>
    </w:lvl>
    <w:lvl w:ilvl="4" w:tplc="04090003" w:tentative="1">
      <w:start w:val="1"/>
      <w:numFmt w:val="bullet"/>
      <w:lvlText w:val="o"/>
      <w:lvlJc w:val="left"/>
      <w:pPr>
        <w:tabs>
          <w:tab w:val="num" w:pos="3678"/>
        </w:tabs>
        <w:ind w:left="3678" w:hanging="360"/>
      </w:pPr>
      <w:rPr>
        <w:rFonts w:ascii="Courier New" w:hAnsi="Courier New" w:hint="default"/>
      </w:rPr>
    </w:lvl>
    <w:lvl w:ilvl="5" w:tplc="04090005" w:tentative="1">
      <w:start w:val="1"/>
      <w:numFmt w:val="bullet"/>
      <w:lvlText w:val=""/>
      <w:lvlJc w:val="left"/>
      <w:pPr>
        <w:tabs>
          <w:tab w:val="num" w:pos="4398"/>
        </w:tabs>
        <w:ind w:left="4398" w:hanging="360"/>
      </w:pPr>
      <w:rPr>
        <w:rFonts w:ascii="Wingdings" w:hAnsi="Wingdings" w:hint="default"/>
      </w:rPr>
    </w:lvl>
    <w:lvl w:ilvl="6" w:tplc="04090001" w:tentative="1">
      <w:start w:val="1"/>
      <w:numFmt w:val="bullet"/>
      <w:lvlText w:val=""/>
      <w:lvlJc w:val="left"/>
      <w:pPr>
        <w:tabs>
          <w:tab w:val="num" w:pos="5118"/>
        </w:tabs>
        <w:ind w:left="5118" w:hanging="360"/>
      </w:pPr>
      <w:rPr>
        <w:rFonts w:ascii="Symbol" w:hAnsi="Symbol" w:hint="default"/>
      </w:rPr>
    </w:lvl>
    <w:lvl w:ilvl="7" w:tplc="04090003" w:tentative="1">
      <w:start w:val="1"/>
      <w:numFmt w:val="bullet"/>
      <w:lvlText w:val="o"/>
      <w:lvlJc w:val="left"/>
      <w:pPr>
        <w:tabs>
          <w:tab w:val="num" w:pos="5838"/>
        </w:tabs>
        <w:ind w:left="5838" w:hanging="360"/>
      </w:pPr>
      <w:rPr>
        <w:rFonts w:ascii="Courier New" w:hAnsi="Courier New" w:hint="default"/>
      </w:rPr>
    </w:lvl>
    <w:lvl w:ilvl="8" w:tplc="04090005" w:tentative="1">
      <w:start w:val="1"/>
      <w:numFmt w:val="bullet"/>
      <w:lvlText w:val=""/>
      <w:lvlJc w:val="left"/>
      <w:pPr>
        <w:tabs>
          <w:tab w:val="num" w:pos="6558"/>
        </w:tabs>
        <w:ind w:left="6558" w:hanging="360"/>
      </w:pPr>
      <w:rPr>
        <w:rFonts w:ascii="Wingdings" w:hAnsi="Wingdings" w:hint="default"/>
      </w:rPr>
    </w:lvl>
  </w:abstractNum>
  <w:abstractNum w:abstractNumId="3" w15:restartNumberingAfterBreak="0">
    <w:nsid w:val="18727633"/>
    <w:multiLevelType w:val="hybridMultilevel"/>
    <w:tmpl w:val="C5F87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071D6"/>
    <w:multiLevelType w:val="hybridMultilevel"/>
    <w:tmpl w:val="C56EAB2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A465F8"/>
    <w:multiLevelType w:val="hybridMultilevel"/>
    <w:tmpl w:val="2C6CA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12182A"/>
    <w:multiLevelType w:val="hybridMultilevel"/>
    <w:tmpl w:val="C56EAB2C"/>
    <w:lvl w:ilvl="0" w:tplc="311A128C">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320D04"/>
    <w:multiLevelType w:val="hybridMultilevel"/>
    <w:tmpl w:val="C39E1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7B54BF"/>
    <w:multiLevelType w:val="hybridMultilevel"/>
    <w:tmpl w:val="F3B40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276769"/>
    <w:multiLevelType w:val="hybridMultilevel"/>
    <w:tmpl w:val="DDE2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A431520"/>
    <w:multiLevelType w:val="hybridMultilevel"/>
    <w:tmpl w:val="4AC4B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2E7477"/>
    <w:multiLevelType w:val="hybridMultilevel"/>
    <w:tmpl w:val="E326B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1B5A8F"/>
    <w:multiLevelType w:val="hybridMultilevel"/>
    <w:tmpl w:val="0DAE4A44"/>
    <w:lvl w:ilvl="0" w:tplc="8D849DB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CA6984"/>
    <w:multiLevelType w:val="hybridMultilevel"/>
    <w:tmpl w:val="F438D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320948"/>
    <w:multiLevelType w:val="hybridMultilevel"/>
    <w:tmpl w:val="70C6E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B65E1F"/>
    <w:multiLevelType w:val="hybridMultilevel"/>
    <w:tmpl w:val="8BFCE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BD774E"/>
    <w:multiLevelType w:val="hybridMultilevel"/>
    <w:tmpl w:val="7FCC3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7335108">
    <w:abstractNumId w:val="4"/>
  </w:num>
  <w:num w:numId="2" w16cid:durableId="1653633024">
    <w:abstractNumId w:val="6"/>
  </w:num>
  <w:num w:numId="3" w16cid:durableId="1772890775">
    <w:abstractNumId w:val="2"/>
  </w:num>
  <w:num w:numId="4" w16cid:durableId="1157501143">
    <w:abstractNumId w:val="12"/>
  </w:num>
  <w:num w:numId="5" w16cid:durableId="118493863">
    <w:abstractNumId w:val="9"/>
  </w:num>
  <w:num w:numId="6" w16cid:durableId="77094850">
    <w:abstractNumId w:val="10"/>
  </w:num>
  <w:num w:numId="7" w16cid:durableId="778531659">
    <w:abstractNumId w:val="13"/>
  </w:num>
  <w:num w:numId="8" w16cid:durableId="50814170">
    <w:abstractNumId w:val="11"/>
  </w:num>
  <w:num w:numId="9" w16cid:durableId="161547160">
    <w:abstractNumId w:val="0"/>
  </w:num>
  <w:num w:numId="10" w16cid:durableId="2057467658">
    <w:abstractNumId w:val="8"/>
  </w:num>
  <w:num w:numId="11" w16cid:durableId="255211429">
    <w:abstractNumId w:val="14"/>
  </w:num>
  <w:num w:numId="12" w16cid:durableId="2031445248">
    <w:abstractNumId w:val="16"/>
  </w:num>
  <w:num w:numId="13" w16cid:durableId="1607928369">
    <w:abstractNumId w:val="1"/>
  </w:num>
  <w:num w:numId="14" w16cid:durableId="1029724421">
    <w:abstractNumId w:val="5"/>
  </w:num>
  <w:num w:numId="15" w16cid:durableId="1452164453">
    <w:abstractNumId w:val="7"/>
  </w:num>
  <w:num w:numId="16" w16cid:durableId="1692025007">
    <w:abstractNumId w:val="15"/>
  </w:num>
  <w:num w:numId="17" w16cid:durableId="12308474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ED8"/>
    <w:rsid w:val="00035E72"/>
    <w:rsid w:val="00037725"/>
    <w:rsid w:val="00037D1E"/>
    <w:rsid w:val="00043E27"/>
    <w:rsid w:val="0006018C"/>
    <w:rsid w:val="000657D2"/>
    <w:rsid w:val="0007415A"/>
    <w:rsid w:val="000904B6"/>
    <w:rsid w:val="00091870"/>
    <w:rsid w:val="00097CE1"/>
    <w:rsid w:val="000A2A94"/>
    <w:rsid w:val="000A70CB"/>
    <w:rsid w:val="000A75F3"/>
    <w:rsid w:val="000B194B"/>
    <w:rsid w:val="000B5B66"/>
    <w:rsid w:val="000C08D8"/>
    <w:rsid w:val="000C39A3"/>
    <w:rsid w:val="000E4135"/>
    <w:rsid w:val="000E4EE9"/>
    <w:rsid w:val="000F1832"/>
    <w:rsid w:val="000F25E0"/>
    <w:rsid w:val="001043ED"/>
    <w:rsid w:val="0010579D"/>
    <w:rsid w:val="00123D20"/>
    <w:rsid w:val="00125D91"/>
    <w:rsid w:val="00125DAA"/>
    <w:rsid w:val="00134833"/>
    <w:rsid w:val="00137256"/>
    <w:rsid w:val="00150EA5"/>
    <w:rsid w:val="001541B3"/>
    <w:rsid w:val="00160198"/>
    <w:rsid w:val="00164F0F"/>
    <w:rsid w:val="00176957"/>
    <w:rsid w:val="00177AB2"/>
    <w:rsid w:val="00186419"/>
    <w:rsid w:val="00196FFE"/>
    <w:rsid w:val="001B7774"/>
    <w:rsid w:val="001D38BE"/>
    <w:rsid w:val="001F1F73"/>
    <w:rsid w:val="00200EE6"/>
    <w:rsid w:val="00202BD1"/>
    <w:rsid w:val="002164BB"/>
    <w:rsid w:val="00231171"/>
    <w:rsid w:val="00266369"/>
    <w:rsid w:val="00267877"/>
    <w:rsid w:val="00280D28"/>
    <w:rsid w:val="002901F8"/>
    <w:rsid w:val="002C7198"/>
    <w:rsid w:val="002D214E"/>
    <w:rsid w:val="002D745A"/>
    <w:rsid w:val="002E73D0"/>
    <w:rsid w:val="002F4FC6"/>
    <w:rsid w:val="002F50BF"/>
    <w:rsid w:val="002F53A8"/>
    <w:rsid w:val="00302E6E"/>
    <w:rsid w:val="003057BF"/>
    <w:rsid w:val="0031474A"/>
    <w:rsid w:val="00322E79"/>
    <w:rsid w:val="00325554"/>
    <w:rsid w:val="00345C74"/>
    <w:rsid w:val="00356E90"/>
    <w:rsid w:val="00362093"/>
    <w:rsid w:val="003826A4"/>
    <w:rsid w:val="00382D2D"/>
    <w:rsid w:val="003B2AC6"/>
    <w:rsid w:val="003B3A36"/>
    <w:rsid w:val="003C5F29"/>
    <w:rsid w:val="003E239D"/>
    <w:rsid w:val="003F4455"/>
    <w:rsid w:val="0040761D"/>
    <w:rsid w:val="00432433"/>
    <w:rsid w:val="0043685B"/>
    <w:rsid w:val="004653EF"/>
    <w:rsid w:val="00483B2F"/>
    <w:rsid w:val="004A5E4C"/>
    <w:rsid w:val="004C4EC2"/>
    <w:rsid w:val="004D58F7"/>
    <w:rsid w:val="0051102D"/>
    <w:rsid w:val="0051294F"/>
    <w:rsid w:val="005323F4"/>
    <w:rsid w:val="0056091F"/>
    <w:rsid w:val="005810E3"/>
    <w:rsid w:val="005867F6"/>
    <w:rsid w:val="0059519D"/>
    <w:rsid w:val="005A3319"/>
    <w:rsid w:val="005C4D56"/>
    <w:rsid w:val="005D467C"/>
    <w:rsid w:val="005E597F"/>
    <w:rsid w:val="005E5F60"/>
    <w:rsid w:val="005F181E"/>
    <w:rsid w:val="005F473C"/>
    <w:rsid w:val="00611517"/>
    <w:rsid w:val="006123C4"/>
    <w:rsid w:val="00615F7A"/>
    <w:rsid w:val="00643932"/>
    <w:rsid w:val="00647E03"/>
    <w:rsid w:val="00651BB5"/>
    <w:rsid w:val="00652BF0"/>
    <w:rsid w:val="006626DE"/>
    <w:rsid w:val="00664F91"/>
    <w:rsid w:val="00683645"/>
    <w:rsid w:val="006A7BD8"/>
    <w:rsid w:val="006B48F2"/>
    <w:rsid w:val="006D5C9E"/>
    <w:rsid w:val="006D6401"/>
    <w:rsid w:val="006E3941"/>
    <w:rsid w:val="00713CC7"/>
    <w:rsid w:val="007160F6"/>
    <w:rsid w:val="00716ED8"/>
    <w:rsid w:val="00730A0A"/>
    <w:rsid w:val="0074376E"/>
    <w:rsid w:val="00763690"/>
    <w:rsid w:val="00764B43"/>
    <w:rsid w:val="00772E7E"/>
    <w:rsid w:val="007779A3"/>
    <w:rsid w:val="00780C82"/>
    <w:rsid w:val="00783A60"/>
    <w:rsid w:val="00790432"/>
    <w:rsid w:val="007B62E1"/>
    <w:rsid w:val="007D1C56"/>
    <w:rsid w:val="007E1545"/>
    <w:rsid w:val="007F2C80"/>
    <w:rsid w:val="007F47B0"/>
    <w:rsid w:val="007F5418"/>
    <w:rsid w:val="00804693"/>
    <w:rsid w:val="008116E1"/>
    <w:rsid w:val="008170B7"/>
    <w:rsid w:val="008206E8"/>
    <w:rsid w:val="008410C2"/>
    <w:rsid w:val="00854E9D"/>
    <w:rsid w:val="00857A92"/>
    <w:rsid w:val="008633DE"/>
    <w:rsid w:val="008709DB"/>
    <w:rsid w:val="008A14CA"/>
    <w:rsid w:val="008C6B8B"/>
    <w:rsid w:val="008D6714"/>
    <w:rsid w:val="008E6C63"/>
    <w:rsid w:val="008E7382"/>
    <w:rsid w:val="00914303"/>
    <w:rsid w:val="00930430"/>
    <w:rsid w:val="009373B9"/>
    <w:rsid w:val="00944AEA"/>
    <w:rsid w:val="00966852"/>
    <w:rsid w:val="00970643"/>
    <w:rsid w:val="00983E3B"/>
    <w:rsid w:val="00987986"/>
    <w:rsid w:val="009909B0"/>
    <w:rsid w:val="00991081"/>
    <w:rsid w:val="009A2604"/>
    <w:rsid w:val="009C4E5B"/>
    <w:rsid w:val="009C7A47"/>
    <w:rsid w:val="009E390D"/>
    <w:rsid w:val="009E4529"/>
    <w:rsid w:val="00A056A9"/>
    <w:rsid w:val="00A26FB6"/>
    <w:rsid w:val="00A41C53"/>
    <w:rsid w:val="00A45E57"/>
    <w:rsid w:val="00A559BD"/>
    <w:rsid w:val="00A76EA6"/>
    <w:rsid w:val="00AA356F"/>
    <w:rsid w:val="00AB50FF"/>
    <w:rsid w:val="00AD6F7A"/>
    <w:rsid w:val="00AE0251"/>
    <w:rsid w:val="00AE199B"/>
    <w:rsid w:val="00AE30DD"/>
    <w:rsid w:val="00B00A5D"/>
    <w:rsid w:val="00B040C4"/>
    <w:rsid w:val="00B174AE"/>
    <w:rsid w:val="00B235F8"/>
    <w:rsid w:val="00B6561B"/>
    <w:rsid w:val="00B8224B"/>
    <w:rsid w:val="00B86CD2"/>
    <w:rsid w:val="00BB1039"/>
    <w:rsid w:val="00BB4CA4"/>
    <w:rsid w:val="00BC0787"/>
    <w:rsid w:val="00BC75DD"/>
    <w:rsid w:val="00BD2930"/>
    <w:rsid w:val="00BF0F9E"/>
    <w:rsid w:val="00BF0FF5"/>
    <w:rsid w:val="00BF2368"/>
    <w:rsid w:val="00C10F64"/>
    <w:rsid w:val="00C12EA3"/>
    <w:rsid w:val="00C24ECF"/>
    <w:rsid w:val="00C574E9"/>
    <w:rsid w:val="00C63A6A"/>
    <w:rsid w:val="00C67DC7"/>
    <w:rsid w:val="00C751B2"/>
    <w:rsid w:val="00C92BD4"/>
    <w:rsid w:val="00CC0E8B"/>
    <w:rsid w:val="00CC44D2"/>
    <w:rsid w:val="00CE4165"/>
    <w:rsid w:val="00CE74F3"/>
    <w:rsid w:val="00D0524A"/>
    <w:rsid w:val="00D116C0"/>
    <w:rsid w:val="00D303A8"/>
    <w:rsid w:val="00D3095C"/>
    <w:rsid w:val="00D47EAD"/>
    <w:rsid w:val="00D57A5E"/>
    <w:rsid w:val="00D75340"/>
    <w:rsid w:val="00D820E8"/>
    <w:rsid w:val="00D8529A"/>
    <w:rsid w:val="00DB0E29"/>
    <w:rsid w:val="00DC4F1E"/>
    <w:rsid w:val="00E21582"/>
    <w:rsid w:val="00E228C6"/>
    <w:rsid w:val="00E45ED4"/>
    <w:rsid w:val="00E53C49"/>
    <w:rsid w:val="00E65718"/>
    <w:rsid w:val="00E75755"/>
    <w:rsid w:val="00E90FE3"/>
    <w:rsid w:val="00E9539F"/>
    <w:rsid w:val="00EB0339"/>
    <w:rsid w:val="00EB5124"/>
    <w:rsid w:val="00EC47D5"/>
    <w:rsid w:val="00ED5584"/>
    <w:rsid w:val="00EF32BC"/>
    <w:rsid w:val="00F115CC"/>
    <w:rsid w:val="00F40E01"/>
    <w:rsid w:val="00F442A5"/>
    <w:rsid w:val="00F76105"/>
    <w:rsid w:val="00F82087"/>
    <w:rsid w:val="00F86130"/>
    <w:rsid w:val="00F95395"/>
    <w:rsid w:val="00FB3743"/>
    <w:rsid w:val="00FC5B6F"/>
    <w:rsid w:val="00FC7072"/>
    <w:rsid w:val="00FE457F"/>
    <w:rsid w:val="00FF06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3561"/>
  <w15:chartTrackingRefBased/>
  <w15:docId w15:val="{E712FC09-DA98-4CAE-ADC8-67C97B62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right"/>
      <w:outlineLvl w:val="0"/>
    </w:pPr>
    <w:rPr>
      <w:sz w:val="36"/>
    </w:rPr>
  </w:style>
  <w:style w:type="paragraph" w:styleId="Heading2">
    <w:name w:val="heading 2"/>
    <w:basedOn w:val="Normal"/>
    <w:next w:val="Normal"/>
    <w:qFormat/>
    <w:pPr>
      <w:keepNext/>
      <w:framePr w:hSpace="180" w:wrap="around" w:vAnchor="page" w:hAnchor="margin" w:y="2733"/>
      <w:outlineLvl w:val="1"/>
    </w:pPr>
    <w:rPr>
      <w:rFonts w:ascii="Arial" w:hAnsi="Arial" w:cs="Arial"/>
      <w:sz w:val="96"/>
    </w:rPr>
  </w:style>
  <w:style w:type="paragraph" w:styleId="Heading3">
    <w:name w:val="heading 3"/>
    <w:basedOn w:val="Normal"/>
    <w:next w:val="Normal"/>
    <w:qFormat/>
    <w:pPr>
      <w:keepNext/>
      <w:jc w:val="center"/>
      <w:outlineLvl w:val="2"/>
    </w:pPr>
    <w:rPr>
      <w:rFonts w:ascii="Verdana" w:hAnsi="Verdana"/>
      <w:sz w:val="48"/>
    </w:rPr>
  </w:style>
  <w:style w:type="paragraph" w:styleId="Heading4">
    <w:name w:val="heading 4"/>
    <w:basedOn w:val="Normal"/>
    <w:next w:val="Normal"/>
    <w:qFormat/>
    <w:pPr>
      <w:keepNext/>
      <w:jc w:val="center"/>
      <w:outlineLvl w:val="3"/>
    </w:pPr>
    <w:rPr>
      <w:rFonts w:ascii="Verdana" w:hAnsi="Verdana"/>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pPr>
      <w:spacing w:before="100" w:beforeAutospacing="1" w:after="100" w:afterAutospacing="1"/>
    </w:pPr>
  </w:style>
  <w:style w:type="paragraph" w:styleId="BodyTextIndent">
    <w:name w:val="Body Text Indent"/>
    <w:basedOn w:val="Normal"/>
    <w:pPr>
      <w:ind w:left="360"/>
    </w:pPr>
    <w:rPr>
      <w:sz w:val="28"/>
      <w:szCs w:val="20"/>
    </w:rPr>
  </w:style>
  <w:style w:type="paragraph" w:styleId="BodyTextIndent2">
    <w:name w:val="Body Text Indent 2"/>
    <w:basedOn w:val="Normal"/>
    <w:pPr>
      <w:ind w:left="360"/>
    </w:pPr>
    <w:rPr>
      <w:b/>
      <w:bCs/>
      <w:sz w:val="28"/>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rFonts w:ascii="Verdana" w:hAnsi="Verdana"/>
    </w:rPr>
  </w:style>
  <w:style w:type="paragraph" w:styleId="BalloonText">
    <w:name w:val="Balloon Text"/>
    <w:basedOn w:val="Normal"/>
    <w:semiHidden/>
    <w:rsid w:val="00356E90"/>
    <w:rPr>
      <w:rFonts w:ascii="Tahoma" w:hAnsi="Tahoma" w:cs="Tahoma"/>
      <w:sz w:val="16"/>
      <w:szCs w:val="16"/>
    </w:rPr>
  </w:style>
  <w:style w:type="paragraph" w:styleId="BodyText2">
    <w:name w:val="Body Text 2"/>
    <w:basedOn w:val="Normal"/>
    <w:rsid w:val="00177AB2"/>
    <w:rPr>
      <w:rFonts w:ascii="Verdana" w:hAnsi="Verdana"/>
      <w:b/>
      <w:bCs/>
      <w:color w:val="000000"/>
      <w:spacing w:val="-20"/>
      <w:sz w:val="28"/>
      <w:szCs w:val="28"/>
    </w:rPr>
  </w:style>
  <w:style w:type="paragraph" w:styleId="PlainText">
    <w:name w:val="Plain Text"/>
    <w:basedOn w:val="Normal"/>
    <w:link w:val="PlainTextChar"/>
    <w:uiPriority w:val="99"/>
    <w:unhideWhenUsed/>
    <w:rsid w:val="00944AEA"/>
    <w:rPr>
      <w:rFonts w:ascii="Consolas" w:eastAsia="Calibri" w:hAnsi="Consolas"/>
      <w:sz w:val="21"/>
      <w:szCs w:val="21"/>
    </w:rPr>
  </w:style>
  <w:style w:type="character" w:customStyle="1" w:styleId="PlainTextChar">
    <w:name w:val="Plain Text Char"/>
    <w:link w:val="PlainText"/>
    <w:uiPriority w:val="99"/>
    <w:rsid w:val="00944AEA"/>
    <w:rPr>
      <w:rFonts w:ascii="Consolas" w:eastAsia="Calibri" w:hAnsi="Consolas" w:cs="Times New Roman"/>
      <w:sz w:val="21"/>
      <w:szCs w:val="21"/>
    </w:rPr>
  </w:style>
  <w:style w:type="paragraph" w:styleId="ListParagraph">
    <w:name w:val="List Paragraph"/>
    <w:basedOn w:val="Normal"/>
    <w:uiPriority w:val="34"/>
    <w:qFormat/>
    <w:rsid w:val="00345C74"/>
    <w:pPr>
      <w:spacing w:after="120" w:line="360" w:lineRule="auto"/>
      <w:ind w:left="720"/>
      <w:contextualSpacing/>
    </w:pPr>
    <w:rPr>
      <w:rFonts w:ascii="Arial" w:hAnsi="Arial"/>
      <w:sz w:val="22"/>
      <w:szCs w:val="20"/>
    </w:rPr>
  </w:style>
  <w:style w:type="character" w:styleId="Emphasis">
    <w:name w:val="Emphasis"/>
    <w:uiPriority w:val="20"/>
    <w:qFormat/>
    <w:rsid w:val="00345C7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840247">
      <w:bodyDiv w:val="1"/>
      <w:marLeft w:val="0"/>
      <w:marRight w:val="0"/>
      <w:marTop w:val="0"/>
      <w:marBottom w:val="0"/>
      <w:divBdr>
        <w:top w:val="none" w:sz="0" w:space="0" w:color="auto"/>
        <w:left w:val="none" w:sz="0" w:space="0" w:color="auto"/>
        <w:bottom w:val="none" w:sz="0" w:space="0" w:color="auto"/>
        <w:right w:val="none" w:sz="0" w:space="0" w:color="auto"/>
      </w:divBdr>
    </w:div>
    <w:div w:id="1988901115">
      <w:bodyDiv w:val="1"/>
      <w:marLeft w:val="0"/>
      <w:marRight w:val="0"/>
      <w:marTop w:val="0"/>
      <w:marBottom w:val="0"/>
      <w:divBdr>
        <w:top w:val="none" w:sz="0" w:space="0" w:color="auto"/>
        <w:left w:val="none" w:sz="0" w:space="0" w:color="auto"/>
        <w:bottom w:val="none" w:sz="0" w:space="0" w:color="auto"/>
        <w:right w:val="none" w:sz="0" w:space="0" w:color="auto"/>
      </w:divBdr>
    </w:div>
    <w:div w:id="2009482954">
      <w:bodyDiv w:val="1"/>
      <w:marLeft w:val="0"/>
      <w:marRight w:val="0"/>
      <w:marTop w:val="0"/>
      <w:marBottom w:val="0"/>
      <w:divBdr>
        <w:top w:val="none" w:sz="0" w:space="0" w:color="auto"/>
        <w:left w:val="none" w:sz="0" w:space="0" w:color="auto"/>
        <w:bottom w:val="none" w:sz="0" w:space="0" w:color="auto"/>
        <w:right w:val="none" w:sz="0" w:space="0" w:color="auto"/>
      </w:divBdr>
    </w:div>
    <w:div w:id="2026785558">
      <w:bodyDiv w:val="1"/>
      <w:marLeft w:val="0"/>
      <w:marRight w:val="0"/>
      <w:marTop w:val="0"/>
      <w:marBottom w:val="0"/>
      <w:divBdr>
        <w:top w:val="none" w:sz="0" w:space="0" w:color="auto"/>
        <w:left w:val="none" w:sz="0" w:space="0" w:color="auto"/>
        <w:bottom w:val="none" w:sz="0" w:space="0" w:color="auto"/>
        <w:right w:val="none" w:sz="0" w:space="0" w:color="auto"/>
      </w:divBdr>
    </w:div>
    <w:div w:id="2044209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534</Words>
  <Characters>3055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MGCB</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busherit</dc:creator>
  <cp:keywords/>
  <cp:lastModifiedBy>Bean, Mary Kay (MGCB)</cp:lastModifiedBy>
  <cp:revision>2</cp:revision>
  <cp:lastPrinted>2014-01-09T22:05:00Z</cp:lastPrinted>
  <dcterms:created xsi:type="dcterms:W3CDTF">2022-10-07T17:49:00Z</dcterms:created>
  <dcterms:modified xsi:type="dcterms:W3CDTF">2022-10-07T17:49:00Z</dcterms:modified>
</cp:coreProperties>
</file>