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41ABBE0D" w:rsidR="00716ED8" w:rsidRDefault="00C8718C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7885D791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603DEABC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C8718C">
              <w:rPr>
                <w:rFonts w:ascii="Verdana" w:hAnsi="Verdana"/>
                <w:b/>
                <w:bCs/>
                <w:sz w:val="22"/>
                <w:szCs w:val="22"/>
              </w:rPr>
              <w:t>September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78612A">
              <w:rPr>
                <w:rFonts w:ascii="Verdana" w:hAnsi="Verdana"/>
                <w:b/>
                <w:bCs/>
                <w:sz w:val="22"/>
                <w:szCs w:val="22"/>
              </w:rPr>
              <w:t>13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0F77AB1C" w:rsidR="00716ED8" w:rsidRPr="0056091F" w:rsidRDefault="00716ED8" w:rsidP="008709D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709DB">
              <w:rPr>
                <w:rFonts w:ascii="Verdana" w:hAnsi="Verdana"/>
                <w:sz w:val="22"/>
                <w:szCs w:val="22"/>
              </w:rPr>
              <w:t>MGCB-media</w:t>
            </w:r>
            <w:r w:rsidR="00E228C6">
              <w:rPr>
                <w:rFonts w:ascii="Verdana" w:hAnsi="Verdana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48112A68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78612A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78612A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2CE2A965" w14:textId="77777777" w:rsidR="007B62E1" w:rsidRPr="00C8718C" w:rsidRDefault="007B62E1" w:rsidP="007B62E1">
      <w:pPr>
        <w:rPr>
          <w:rFonts w:ascii="Arial" w:hAnsi="Arial" w:cs="Arial"/>
          <w:b/>
          <w:bCs/>
          <w:sz w:val="20"/>
          <w:szCs w:val="20"/>
        </w:rPr>
      </w:pPr>
    </w:p>
    <w:p w14:paraId="3A7EF253" w14:textId="77777777" w:rsidR="00C8718C" w:rsidRPr="00F3185C" w:rsidRDefault="00C8718C" w:rsidP="00C8718C">
      <w:pPr>
        <w:rPr>
          <w:rFonts w:ascii="Arial" w:hAnsi="Arial" w:cs="Arial"/>
          <w:b/>
          <w:bCs/>
          <w:sz w:val="40"/>
          <w:szCs w:val="40"/>
        </w:rPr>
      </w:pPr>
      <w:r w:rsidRPr="00F3185C">
        <w:rPr>
          <w:rFonts w:ascii="Arial" w:hAnsi="Arial" w:cs="Arial"/>
          <w:b/>
          <w:bCs/>
          <w:sz w:val="40"/>
          <w:szCs w:val="40"/>
        </w:rPr>
        <w:t>Detroit casinos report $106.14 million monthly aggregate revenue in August</w:t>
      </w:r>
    </w:p>
    <w:p w14:paraId="19B226CE" w14:textId="77777777" w:rsidR="00C8718C" w:rsidRDefault="00C8718C" w:rsidP="00C8718C">
      <w:pPr>
        <w:rPr>
          <w:rFonts w:ascii="Arial" w:hAnsi="Arial" w:cs="Arial"/>
          <w:b/>
          <w:bCs/>
        </w:rPr>
      </w:pPr>
    </w:p>
    <w:p w14:paraId="0CED5927" w14:textId="367BF85E" w:rsidR="00C8718C" w:rsidRDefault="00C8718C" w:rsidP="00C8718C">
      <w:pPr>
        <w:rPr>
          <w:rFonts w:ascii="Arial" w:hAnsi="Arial" w:cs="Arial"/>
        </w:rPr>
      </w:pPr>
      <w:r w:rsidRPr="00F3185C">
        <w:rPr>
          <w:rFonts w:ascii="Arial" w:hAnsi="Arial" w:cs="Arial"/>
          <w:b/>
          <w:bCs/>
        </w:rPr>
        <w:t xml:space="preserve">Detroit, Sept. </w:t>
      </w:r>
      <w:r w:rsidR="0078612A">
        <w:rPr>
          <w:rFonts w:ascii="Arial" w:hAnsi="Arial" w:cs="Arial"/>
          <w:b/>
          <w:bCs/>
        </w:rPr>
        <w:t>13</w:t>
      </w:r>
      <w:r w:rsidRPr="00F3185C">
        <w:rPr>
          <w:rFonts w:ascii="Arial" w:hAnsi="Arial" w:cs="Arial"/>
          <w:b/>
          <w:bCs/>
        </w:rPr>
        <w:t>, 2022</w:t>
      </w:r>
      <w:r w:rsidRPr="00CD0B4C">
        <w:rPr>
          <w:rFonts w:ascii="Arial" w:hAnsi="Arial" w:cs="Arial"/>
        </w:rPr>
        <w:t xml:space="preserve"> – The three Detroit casinos reported $106.14 million</w:t>
      </w:r>
      <w:r>
        <w:rPr>
          <w:rFonts w:ascii="Arial" w:hAnsi="Arial" w:cs="Arial"/>
        </w:rPr>
        <w:t xml:space="preserve"> in</w:t>
      </w:r>
      <w:r w:rsidRPr="00CD0B4C">
        <w:rPr>
          <w:rFonts w:ascii="Arial" w:hAnsi="Arial" w:cs="Arial"/>
        </w:rPr>
        <w:t xml:space="preserve"> monthly aggregate revenue in August. Table games and slots generated $104.48 million in revenue while retail sports betting produced $1.66 million</w:t>
      </w:r>
      <w:r>
        <w:rPr>
          <w:rFonts w:ascii="Arial" w:hAnsi="Arial" w:cs="Arial"/>
        </w:rPr>
        <w:t xml:space="preserve"> in revenue</w:t>
      </w:r>
      <w:r w:rsidRPr="00CD0B4C">
        <w:rPr>
          <w:rFonts w:ascii="Arial" w:hAnsi="Arial" w:cs="Arial"/>
        </w:rPr>
        <w:t>.</w:t>
      </w:r>
    </w:p>
    <w:p w14:paraId="33231C64" w14:textId="01B16146" w:rsidR="00C8718C" w:rsidRPr="00CD0B4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 xml:space="preserve"> </w:t>
      </w:r>
    </w:p>
    <w:p w14:paraId="6504F1AE" w14:textId="77777777" w:rsidR="00C8718C" w:rsidRPr="00CD0B4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August market shares were:</w:t>
      </w:r>
    </w:p>
    <w:p w14:paraId="09B899C0" w14:textId="77777777" w:rsidR="00C8718C" w:rsidRPr="00CD0B4C" w:rsidRDefault="00C8718C" w:rsidP="00C8718C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CD0B4C">
        <w:rPr>
          <w:rFonts w:cs="Arial"/>
          <w:sz w:val="24"/>
          <w:szCs w:val="24"/>
        </w:rPr>
        <w:t>MGM, 48%</w:t>
      </w:r>
    </w:p>
    <w:p w14:paraId="09EEFFB1" w14:textId="77777777" w:rsidR="00C8718C" w:rsidRPr="00CD0B4C" w:rsidRDefault="00C8718C" w:rsidP="00C8718C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CD0B4C">
        <w:rPr>
          <w:rFonts w:cs="Arial"/>
          <w:sz w:val="24"/>
          <w:szCs w:val="24"/>
        </w:rPr>
        <w:t>MotorCity</w:t>
      </w:r>
      <w:proofErr w:type="spellEnd"/>
      <w:r w:rsidRPr="00CD0B4C">
        <w:rPr>
          <w:rFonts w:cs="Arial"/>
          <w:sz w:val="24"/>
          <w:szCs w:val="24"/>
        </w:rPr>
        <w:t>, 31%</w:t>
      </w:r>
    </w:p>
    <w:p w14:paraId="30D3F1D5" w14:textId="77777777" w:rsidR="00C8718C" w:rsidRPr="00CD0B4C" w:rsidRDefault="00C8718C" w:rsidP="00C8718C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CD0B4C">
        <w:rPr>
          <w:rFonts w:cs="Arial"/>
          <w:sz w:val="24"/>
          <w:szCs w:val="24"/>
        </w:rPr>
        <w:t>Hollywood Casino at Greektown, 21%</w:t>
      </w:r>
    </w:p>
    <w:p w14:paraId="4DF14BA0" w14:textId="77777777" w:rsidR="00C8718C" w:rsidRPr="00F3185C" w:rsidRDefault="00C8718C" w:rsidP="00C8718C">
      <w:pPr>
        <w:rPr>
          <w:rFonts w:ascii="Arial" w:hAnsi="Arial" w:cs="Arial"/>
          <w:b/>
          <w:bCs/>
        </w:rPr>
      </w:pPr>
      <w:r w:rsidRPr="00F3185C">
        <w:rPr>
          <w:rFonts w:ascii="Arial" w:hAnsi="Arial" w:cs="Arial"/>
          <w:b/>
          <w:bCs/>
        </w:rPr>
        <w:t>Table Games and Slot Revenue and Taxes</w:t>
      </w:r>
    </w:p>
    <w:p w14:paraId="3CEF0B66" w14:textId="0881F2C8" w:rsidR="00C8718C" w:rsidRDefault="00C8718C" w:rsidP="00C8718C">
      <w:pPr>
        <w:rPr>
          <w:rFonts w:ascii="Arial" w:hAnsi="Arial" w:cs="Arial"/>
        </w:rPr>
      </w:pPr>
      <w:r>
        <w:rPr>
          <w:rFonts w:ascii="Arial" w:hAnsi="Arial" w:cs="Arial"/>
        </w:rPr>
        <w:t>The casinos’ t</w:t>
      </w:r>
      <w:r w:rsidRPr="00CD0B4C">
        <w:rPr>
          <w:rFonts w:ascii="Arial" w:hAnsi="Arial" w:cs="Arial"/>
        </w:rPr>
        <w:t>able games and slots monthly revenue fell 6.9% compared with August 2021. Revenue also was down 1.4% from July results. Year-to-date through Aug</w:t>
      </w:r>
      <w:r>
        <w:rPr>
          <w:rFonts w:ascii="Arial" w:hAnsi="Arial" w:cs="Arial"/>
        </w:rPr>
        <w:t>.</w:t>
      </w:r>
      <w:r w:rsidRPr="00CD0B4C">
        <w:rPr>
          <w:rFonts w:ascii="Arial" w:hAnsi="Arial" w:cs="Arial"/>
        </w:rPr>
        <w:t xml:space="preserve"> 31, table games and slots gaming revenue </w:t>
      </w:r>
      <w:r>
        <w:rPr>
          <w:rFonts w:ascii="Arial" w:hAnsi="Arial" w:cs="Arial"/>
        </w:rPr>
        <w:t>increased</w:t>
      </w:r>
      <w:r w:rsidRPr="00CD0B4C">
        <w:rPr>
          <w:rFonts w:ascii="Arial" w:hAnsi="Arial" w:cs="Arial"/>
        </w:rPr>
        <w:t xml:space="preserve"> 1.7% </w:t>
      </w:r>
      <w:r>
        <w:rPr>
          <w:rFonts w:ascii="Arial" w:hAnsi="Arial" w:cs="Arial"/>
        </w:rPr>
        <w:t>from results for</w:t>
      </w:r>
      <w:r w:rsidRPr="00CD0B4C">
        <w:rPr>
          <w:rFonts w:ascii="Arial" w:hAnsi="Arial" w:cs="Arial"/>
        </w:rPr>
        <w:t xml:space="preserve"> the same eight-month period last year.</w:t>
      </w:r>
    </w:p>
    <w:p w14:paraId="7C4BA34F" w14:textId="77777777" w:rsidR="00C8718C" w:rsidRPr="00CD0B4C" w:rsidRDefault="00C8718C" w:rsidP="00C8718C">
      <w:pPr>
        <w:rPr>
          <w:rFonts w:ascii="Arial" w:hAnsi="Arial" w:cs="Arial"/>
        </w:rPr>
      </w:pPr>
    </w:p>
    <w:p w14:paraId="39950C77" w14:textId="77777777" w:rsidR="00C8718C" w:rsidRPr="00CD0B4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Compared with August 2021 results, monthly slots and table games revenue by property fell across the board:</w:t>
      </w:r>
    </w:p>
    <w:p w14:paraId="260C04DA" w14:textId="77777777" w:rsidR="00C8718C" w:rsidRPr="00CD0B4C" w:rsidRDefault="00C8718C" w:rsidP="00C8718C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CD0B4C">
        <w:rPr>
          <w:rFonts w:cs="Arial"/>
          <w:sz w:val="24"/>
          <w:szCs w:val="24"/>
        </w:rPr>
        <w:t>MGM, down 3.7% to $50.31 million</w:t>
      </w:r>
    </w:p>
    <w:p w14:paraId="3622EDF2" w14:textId="77777777" w:rsidR="00C8718C" w:rsidRPr="00CD0B4C" w:rsidRDefault="00C8718C" w:rsidP="00C8718C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CD0B4C">
        <w:rPr>
          <w:rFonts w:cs="Arial"/>
          <w:sz w:val="24"/>
          <w:szCs w:val="24"/>
        </w:rPr>
        <w:t>MotorCity</w:t>
      </w:r>
      <w:proofErr w:type="spellEnd"/>
      <w:r w:rsidRPr="00CD0B4C">
        <w:rPr>
          <w:rFonts w:cs="Arial"/>
          <w:sz w:val="24"/>
          <w:szCs w:val="24"/>
        </w:rPr>
        <w:t>, down 11.5% to $32.33 million</w:t>
      </w:r>
    </w:p>
    <w:p w14:paraId="750F3314" w14:textId="77777777" w:rsidR="00C8718C" w:rsidRPr="00CD0B4C" w:rsidRDefault="00C8718C" w:rsidP="00C8718C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CD0B4C">
        <w:rPr>
          <w:rFonts w:cs="Arial"/>
          <w:sz w:val="24"/>
          <w:szCs w:val="24"/>
        </w:rPr>
        <w:t xml:space="preserve">Hollywood Casino at Greektown, down 6.7% to $21.84 million </w:t>
      </w:r>
    </w:p>
    <w:p w14:paraId="6327821F" w14:textId="7CC4F546" w:rsidR="00C8718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During August, the Detroit casinos paid $8.5 million gaming taxes to the State of Michigan compared with $9.1 million paid during August 2021.</w:t>
      </w:r>
    </w:p>
    <w:p w14:paraId="2B02872D" w14:textId="77777777" w:rsidR="00C8718C" w:rsidRPr="00CD0B4C" w:rsidRDefault="00C8718C" w:rsidP="00C8718C">
      <w:pPr>
        <w:rPr>
          <w:rFonts w:ascii="Arial" w:hAnsi="Arial" w:cs="Arial"/>
        </w:rPr>
      </w:pPr>
    </w:p>
    <w:p w14:paraId="7DB7C2D7" w14:textId="1B088FDC" w:rsidR="00C8718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The three Detroit casinos reported submitting $16.5 million in wagering taxes and development agreement payments to the City of Detroit during August.</w:t>
      </w:r>
    </w:p>
    <w:p w14:paraId="32839B7A" w14:textId="77777777" w:rsidR="00C8718C" w:rsidRPr="00CD0B4C" w:rsidRDefault="00C8718C" w:rsidP="00C8718C">
      <w:pPr>
        <w:rPr>
          <w:rFonts w:ascii="Arial" w:hAnsi="Arial" w:cs="Arial"/>
        </w:rPr>
      </w:pPr>
    </w:p>
    <w:p w14:paraId="0DBA9B4F" w14:textId="77777777" w:rsidR="00C8718C" w:rsidRPr="00CD0B4C" w:rsidRDefault="00C8718C" w:rsidP="00C8718C">
      <w:pPr>
        <w:rPr>
          <w:rFonts w:ascii="Arial" w:hAnsi="Arial" w:cs="Arial"/>
          <w:b/>
          <w:bCs/>
        </w:rPr>
      </w:pPr>
      <w:r w:rsidRPr="00CD0B4C">
        <w:rPr>
          <w:rFonts w:ascii="Arial" w:hAnsi="Arial" w:cs="Arial"/>
          <w:b/>
          <w:bCs/>
        </w:rPr>
        <w:lastRenderedPageBreak/>
        <w:t>Retail Sports Betting Revenue and Taxes</w:t>
      </w:r>
    </w:p>
    <w:p w14:paraId="4AE4DA13" w14:textId="7DF065C4" w:rsidR="00C8718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 xml:space="preserve">Retail sports betting qualified adjusted gross receipts (QAGR) </w:t>
      </w:r>
      <w:r>
        <w:rPr>
          <w:rFonts w:ascii="Arial" w:hAnsi="Arial" w:cs="Arial"/>
        </w:rPr>
        <w:t xml:space="preserve">during </w:t>
      </w:r>
      <w:r w:rsidRPr="00CD0B4C">
        <w:rPr>
          <w:rFonts w:ascii="Arial" w:hAnsi="Arial" w:cs="Arial"/>
        </w:rPr>
        <w:t xml:space="preserve">August rose a fractional 0.8% when compared with August 2021 results. QAGR increased 32.2% compared with July results. </w:t>
      </w:r>
    </w:p>
    <w:p w14:paraId="0A7D173A" w14:textId="77777777" w:rsidR="00C8718C" w:rsidRPr="00CD0B4C" w:rsidRDefault="00C8718C" w:rsidP="00C8718C">
      <w:pPr>
        <w:rPr>
          <w:rFonts w:ascii="Arial" w:hAnsi="Arial" w:cs="Arial"/>
        </w:rPr>
      </w:pPr>
    </w:p>
    <w:p w14:paraId="488EE378" w14:textId="77777777" w:rsidR="00C8718C" w:rsidRPr="00CD0B4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August QAGR by property was:</w:t>
      </w:r>
    </w:p>
    <w:p w14:paraId="2CB940E5" w14:textId="77777777" w:rsidR="00C8718C" w:rsidRPr="00CD0B4C" w:rsidRDefault="00C8718C" w:rsidP="00C8718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 w:val="24"/>
          <w:szCs w:val="24"/>
        </w:rPr>
      </w:pPr>
      <w:r w:rsidRPr="00CD0B4C">
        <w:rPr>
          <w:rFonts w:cs="Arial"/>
          <w:sz w:val="24"/>
          <w:szCs w:val="24"/>
        </w:rPr>
        <w:t xml:space="preserve">MGM, $701,876, </w:t>
      </w:r>
    </w:p>
    <w:p w14:paraId="59FB63E9" w14:textId="77777777" w:rsidR="00C8718C" w:rsidRPr="00CD0B4C" w:rsidRDefault="00C8718C" w:rsidP="00C8718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CD0B4C">
        <w:rPr>
          <w:rFonts w:cs="Arial"/>
          <w:sz w:val="24"/>
          <w:szCs w:val="24"/>
        </w:rPr>
        <w:t>MotorCity</w:t>
      </w:r>
      <w:proofErr w:type="spellEnd"/>
      <w:r w:rsidRPr="00CD0B4C">
        <w:rPr>
          <w:rFonts w:cs="Arial"/>
          <w:sz w:val="24"/>
          <w:szCs w:val="24"/>
        </w:rPr>
        <w:t>, $382,147</w:t>
      </w:r>
    </w:p>
    <w:p w14:paraId="1C34CFDE" w14:textId="77777777" w:rsidR="00C8718C" w:rsidRPr="00CD0B4C" w:rsidRDefault="00C8718C" w:rsidP="00C8718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 w:val="24"/>
          <w:szCs w:val="24"/>
        </w:rPr>
      </w:pPr>
      <w:r w:rsidRPr="00CD0B4C">
        <w:rPr>
          <w:rFonts w:cs="Arial"/>
          <w:sz w:val="24"/>
          <w:szCs w:val="24"/>
        </w:rPr>
        <w:t>Hollywood Casino at Greektown, $578,830</w:t>
      </w:r>
    </w:p>
    <w:p w14:paraId="3117328B" w14:textId="7BF0CBD5" w:rsidR="00C8718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The three Detroit casinos reported total retail sports betting handle of $11,003,753.  Total gross</w:t>
      </w:r>
      <w:r>
        <w:rPr>
          <w:rFonts w:ascii="Arial" w:hAnsi="Arial" w:cs="Arial"/>
        </w:rPr>
        <w:t xml:space="preserve"> sports betting</w:t>
      </w:r>
      <w:r w:rsidRPr="00CD0B4C">
        <w:rPr>
          <w:rFonts w:ascii="Arial" w:hAnsi="Arial" w:cs="Arial"/>
        </w:rPr>
        <w:t xml:space="preserve"> receipts were $1.66 million for the three</w:t>
      </w:r>
      <w:r>
        <w:rPr>
          <w:rFonts w:ascii="Arial" w:hAnsi="Arial" w:cs="Arial"/>
        </w:rPr>
        <w:t xml:space="preserve"> retail sportsbook</w:t>
      </w:r>
      <w:r w:rsidRPr="00CD0B4C">
        <w:rPr>
          <w:rFonts w:ascii="Arial" w:hAnsi="Arial" w:cs="Arial"/>
        </w:rPr>
        <w:t xml:space="preserve"> locations.  </w:t>
      </w:r>
    </w:p>
    <w:p w14:paraId="5FC89A52" w14:textId="77777777" w:rsidR="00C8718C" w:rsidRPr="00CD0B4C" w:rsidRDefault="00C8718C" w:rsidP="00C8718C">
      <w:pPr>
        <w:rPr>
          <w:rFonts w:ascii="Arial" w:hAnsi="Arial" w:cs="Arial"/>
        </w:rPr>
      </w:pPr>
    </w:p>
    <w:p w14:paraId="61FACF7E" w14:textId="2DD52404" w:rsidR="00C8718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During August, retail sports betting gaming taxes</w:t>
      </w:r>
      <w:r>
        <w:rPr>
          <w:rFonts w:ascii="Arial" w:hAnsi="Arial" w:cs="Arial"/>
        </w:rPr>
        <w:t xml:space="preserve"> paid to the State of Michigan</w:t>
      </w:r>
      <w:r w:rsidRPr="00CD0B4C">
        <w:rPr>
          <w:rFonts w:ascii="Arial" w:hAnsi="Arial" w:cs="Arial"/>
        </w:rPr>
        <w:t xml:space="preserve"> were $62,856 compared with $62,371 paid in August 2021.</w:t>
      </w:r>
    </w:p>
    <w:p w14:paraId="64D37A54" w14:textId="77777777" w:rsidR="00C8718C" w:rsidRPr="00CD0B4C" w:rsidRDefault="00C8718C" w:rsidP="00C8718C">
      <w:pPr>
        <w:rPr>
          <w:rFonts w:ascii="Arial" w:hAnsi="Arial" w:cs="Arial"/>
        </w:rPr>
      </w:pPr>
    </w:p>
    <w:p w14:paraId="6DF6FC2C" w14:textId="2008D04B" w:rsidR="00C8718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The three Detroit casinos reported submitting $76,824 in wagering taxes and development agreement payments to the City of Detroit during August.</w:t>
      </w:r>
    </w:p>
    <w:p w14:paraId="0D2B96AE" w14:textId="77777777" w:rsidR="00C8718C" w:rsidRPr="00CD0B4C" w:rsidRDefault="00C8718C" w:rsidP="00C8718C">
      <w:pPr>
        <w:rPr>
          <w:rFonts w:ascii="Arial" w:hAnsi="Arial" w:cs="Arial"/>
        </w:rPr>
      </w:pPr>
    </w:p>
    <w:p w14:paraId="3735174D" w14:textId="77777777" w:rsidR="00C8718C" w:rsidRPr="00CD0B4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Year to date through Aug. 31, aggregate retail sports betting qualified adjusted gross receipts were:</w:t>
      </w:r>
    </w:p>
    <w:p w14:paraId="0ACBAD6F" w14:textId="77777777" w:rsidR="00C8718C" w:rsidRPr="00CD0B4C" w:rsidRDefault="00C8718C" w:rsidP="00C8718C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sz w:val="24"/>
          <w:szCs w:val="24"/>
        </w:rPr>
      </w:pPr>
      <w:r w:rsidRPr="00CD0B4C">
        <w:rPr>
          <w:rFonts w:cs="Arial"/>
          <w:sz w:val="24"/>
          <w:szCs w:val="24"/>
        </w:rPr>
        <w:t>MGM, $3 million</w:t>
      </w:r>
    </w:p>
    <w:p w14:paraId="42C9213D" w14:textId="77777777" w:rsidR="00C8718C" w:rsidRPr="00CD0B4C" w:rsidRDefault="00C8718C" w:rsidP="00C8718C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CD0B4C">
        <w:rPr>
          <w:rFonts w:cs="Arial"/>
          <w:sz w:val="24"/>
          <w:szCs w:val="24"/>
        </w:rPr>
        <w:t>MotorCity</w:t>
      </w:r>
      <w:proofErr w:type="spellEnd"/>
      <w:r w:rsidRPr="00CD0B4C">
        <w:rPr>
          <w:rFonts w:cs="Arial"/>
          <w:sz w:val="24"/>
          <w:szCs w:val="24"/>
        </w:rPr>
        <w:t>, $2.8 million</w:t>
      </w:r>
    </w:p>
    <w:p w14:paraId="390CF78E" w14:textId="77777777" w:rsidR="00C8718C" w:rsidRPr="00CD0B4C" w:rsidRDefault="00C8718C" w:rsidP="00C8718C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sz w:val="24"/>
          <w:szCs w:val="24"/>
        </w:rPr>
      </w:pPr>
      <w:r w:rsidRPr="00CD0B4C">
        <w:rPr>
          <w:rFonts w:cs="Arial"/>
          <w:sz w:val="24"/>
          <w:szCs w:val="24"/>
        </w:rPr>
        <w:t>Hollywood Casino at Greektown, $4.9 million</w:t>
      </w:r>
    </w:p>
    <w:p w14:paraId="4181C69F" w14:textId="77777777" w:rsidR="00C8718C" w:rsidRPr="00CD0B4C" w:rsidRDefault="00C8718C" w:rsidP="00C8718C">
      <w:pPr>
        <w:rPr>
          <w:rFonts w:ascii="Arial" w:hAnsi="Arial" w:cs="Arial"/>
          <w:b/>
          <w:bCs/>
        </w:rPr>
      </w:pPr>
      <w:r w:rsidRPr="00CD0B4C">
        <w:rPr>
          <w:rFonts w:ascii="Arial" w:hAnsi="Arial" w:cs="Arial"/>
          <w:b/>
          <w:bCs/>
        </w:rPr>
        <w:t>Fantasy Contests</w:t>
      </w:r>
    </w:p>
    <w:p w14:paraId="2AAD98E8" w14:textId="5C4044FC" w:rsidR="00C8718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During July, fantasy contest operators reported total adjusted revenues of $1.1 million and paid taxes of $93,849.</w:t>
      </w:r>
    </w:p>
    <w:p w14:paraId="28A36518" w14:textId="77777777" w:rsidR="00C8718C" w:rsidRPr="00CD0B4C" w:rsidRDefault="00C8718C" w:rsidP="00C8718C">
      <w:pPr>
        <w:rPr>
          <w:rFonts w:ascii="Arial" w:hAnsi="Arial" w:cs="Arial"/>
        </w:rPr>
      </w:pPr>
    </w:p>
    <w:p w14:paraId="60CFB945" w14:textId="77777777" w:rsidR="00C8718C" w:rsidRPr="00CD0B4C" w:rsidRDefault="00C8718C" w:rsidP="00C8718C">
      <w:pPr>
        <w:rPr>
          <w:rFonts w:ascii="Arial" w:hAnsi="Arial" w:cs="Arial"/>
        </w:rPr>
      </w:pPr>
      <w:r w:rsidRPr="00CD0B4C">
        <w:rPr>
          <w:rFonts w:ascii="Arial" w:hAnsi="Arial" w:cs="Arial"/>
        </w:rPr>
        <w:t>For the first seven months of 2022, fantasy contest operators reported $8.5 million aggregate fantasy contest adjusted revenues and paid taxes totaling $716,540.</w:t>
      </w:r>
    </w:p>
    <w:p w14:paraId="63ACC856" w14:textId="04909A5F" w:rsidR="007B62E1" w:rsidRDefault="007B62E1" w:rsidP="007B62E1">
      <w:pPr>
        <w:rPr>
          <w:rFonts w:ascii="Arial" w:hAnsi="Arial" w:cs="Arial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1A98"/>
    <w:multiLevelType w:val="hybridMultilevel"/>
    <w:tmpl w:val="FA68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10B37"/>
    <w:multiLevelType w:val="hybridMultilevel"/>
    <w:tmpl w:val="D296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F42A0"/>
    <w:multiLevelType w:val="hybridMultilevel"/>
    <w:tmpl w:val="4AA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31557"/>
    <w:multiLevelType w:val="hybridMultilevel"/>
    <w:tmpl w:val="856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4"/>
  </w:num>
  <w:num w:numId="3" w16cid:durableId="1772890775">
    <w:abstractNumId w:val="1"/>
  </w:num>
  <w:num w:numId="4" w16cid:durableId="1157501143">
    <w:abstractNumId w:val="9"/>
  </w:num>
  <w:num w:numId="5" w16cid:durableId="118493863">
    <w:abstractNumId w:val="6"/>
  </w:num>
  <w:num w:numId="6" w16cid:durableId="77094850">
    <w:abstractNumId w:val="7"/>
  </w:num>
  <w:num w:numId="7" w16cid:durableId="778531659">
    <w:abstractNumId w:val="10"/>
  </w:num>
  <w:num w:numId="8" w16cid:durableId="50814170">
    <w:abstractNumId w:val="8"/>
  </w:num>
  <w:num w:numId="9" w16cid:durableId="161547160">
    <w:abstractNumId w:val="0"/>
  </w:num>
  <w:num w:numId="10" w16cid:durableId="2057467658">
    <w:abstractNumId w:val="5"/>
  </w:num>
  <w:num w:numId="11" w16cid:durableId="255211429">
    <w:abstractNumId w:val="12"/>
  </w:num>
  <w:num w:numId="12" w16cid:durableId="2031445248">
    <w:abstractNumId w:val="15"/>
  </w:num>
  <w:num w:numId="13" w16cid:durableId="641621944">
    <w:abstractNumId w:val="11"/>
  </w:num>
  <w:num w:numId="14" w16cid:durableId="1871450621">
    <w:abstractNumId w:val="14"/>
  </w:num>
  <w:num w:numId="15" w16cid:durableId="1417897647">
    <w:abstractNumId w:val="13"/>
  </w:num>
  <w:num w:numId="16" w16cid:durableId="454904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91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8612A"/>
    <w:rsid w:val="00790432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4E9D"/>
    <w:rsid w:val="00857A92"/>
    <w:rsid w:val="008633DE"/>
    <w:rsid w:val="008709DB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8718C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D5584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2022-09-12T19:37:00Z</dcterms:created>
  <dcterms:modified xsi:type="dcterms:W3CDTF">2022-09-12T19:37:00Z</dcterms:modified>
</cp:coreProperties>
</file>