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51FEF206" w:rsidR="00716ED8" w:rsidRDefault="00B32708" w:rsidP="00ED5584">
            <w:pPr>
              <w:jc w:val="center"/>
              <w:rPr>
                <w:rStyle w:val="Hyperlink"/>
              </w:rPr>
            </w:pPr>
            <w:r>
              <w:rPr>
                <w:noProof/>
              </w:rPr>
              <w:drawing>
                <wp:inline distT="0" distB="0" distL="0" distR="0" wp14:anchorId="36142F11" wp14:editId="6423F1C5">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0E0FD561"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B32708">
              <w:rPr>
                <w:rFonts w:ascii="Verdana" w:hAnsi="Verdana"/>
                <w:b/>
                <w:bCs/>
                <w:sz w:val="22"/>
                <w:szCs w:val="22"/>
              </w:rPr>
              <w:t>September</w:t>
            </w:r>
            <w:r w:rsidR="00BC0787">
              <w:rPr>
                <w:rFonts w:ascii="Verdana" w:hAnsi="Verdana"/>
                <w:b/>
                <w:bCs/>
                <w:sz w:val="22"/>
                <w:szCs w:val="22"/>
              </w:rPr>
              <w:t xml:space="preserve"> </w:t>
            </w:r>
            <w:r w:rsidR="00B32708">
              <w:rPr>
                <w:rFonts w:ascii="Verdana" w:hAnsi="Verdana"/>
                <w:b/>
                <w:bCs/>
                <w:sz w:val="22"/>
                <w:szCs w:val="22"/>
              </w:rPr>
              <w:t>1</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3ED0B9E5"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A714C9">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A714C9">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2CE2A965" w14:textId="77777777" w:rsidR="007B62E1" w:rsidRPr="00B32708" w:rsidRDefault="007B62E1" w:rsidP="007B62E1">
      <w:pPr>
        <w:rPr>
          <w:rFonts w:ascii="Arial" w:hAnsi="Arial" w:cs="Arial"/>
          <w:b/>
          <w:bCs/>
          <w:sz w:val="20"/>
          <w:szCs w:val="20"/>
        </w:rPr>
      </w:pPr>
    </w:p>
    <w:p w14:paraId="156A557E" w14:textId="77777777" w:rsidR="00B32708" w:rsidRPr="00BF601B" w:rsidRDefault="00B32708" w:rsidP="00B32708">
      <w:pPr>
        <w:rPr>
          <w:rFonts w:ascii="Arial" w:hAnsi="Arial" w:cs="Arial"/>
          <w:b/>
          <w:bCs/>
          <w:sz w:val="36"/>
          <w:szCs w:val="36"/>
        </w:rPr>
      </w:pPr>
      <w:r w:rsidRPr="00BF601B">
        <w:rPr>
          <w:rFonts w:ascii="Arial" w:hAnsi="Arial" w:cs="Arial"/>
          <w:b/>
          <w:bCs/>
          <w:sz w:val="36"/>
          <w:szCs w:val="36"/>
        </w:rPr>
        <w:t>Mich</w:t>
      </w:r>
      <w:r>
        <w:rPr>
          <w:rFonts w:ascii="Arial" w:hAnsi="Arial" w:cs="Arial"/>
          <w:b/>
          <w:bCs/>
          <w:sz w:val="36"/>
          <w:szCs w:val="36"/>
        </w:rPr>
        <w:t>igan</w:t>
      </w:r>
      <w:r w:rsidRPr="00BF601B">
        <w:rPr>
          <w:rFonts w:ascii="Arial" w:hAnsi="Arial" w:cs="Arial"/>
          <w:b/>
          <w:bCs/>
          <w:sz w:val="36"/>
          <w:szCs w:val="36"/>
        </w:rPr>
        <w:t xml:space="preserve"> Gaming Control Board urges adding responsible gaming awareness to students’ lessons</w:t>
      </w:r>
    </w:p>
    <w:p w14:paraId="01BD00D6" w14:textId="77777777" w:rsidR="00B32708" w:rsidRDefault="00B32708" w:rsidP="00B32708">
      <w:pPr>
        <w:rPr>
          <w:rFonts w:ascii="Arial" w:hAnsi="Arial" w:cs="Arial"/>
          <w:b/>
          <w:bCs/>
        </w:rPr>
      </w:pPr>
    </w:p>
    <w:p w14:paraId="2B5E8B4E" w14:textId="4AD5CB5D" w:rsidR="00B32708" w:rsidRDefault="00B32708" w:rsidP="00B32708">
      <w:pPr>
        <w:rPr>
          <w:rFonts w:ascii="Arial" w:hAnsi="Arial" w:cs="Arial"/>
        </w:rPr>
      </w:pPr>
      <w:r w:rsidRPr="00310F32">
        <w:rPr>
          <w:rFonts w:ascii="Arial" w:hAnsi="Arial" w:cs="Arial"/>
          <w:b/>
          <w:bCs/>
        </w:rPr>
        <w:t xml:space="preserve">Detroit, Sept. </w:t>
      </w:r>
      <w:r>
        <w:rPr>
          <w:rFonts w:ascii="Arial" w:hAnsi="Arial" w:cs="Arial"/>
          <w:b/>
          <w:bCs/>
        </w:rPr>
        <w:t>1</w:t>
      </w:r>
      <w:r w:rsidRPr="00310F32">
        <w:rPr>
          <w:rFonts w:ascii="Arial" w:hAnsi="Arial" w:cs="Arial"/>
          <w:b/>
          <w:bCs/>
        </w:rPr>
        <w:t>, 2022</w:t>
      </w:r>
      <w:r>
        <w:rPr>
          <w:rFonts w:ascii="Arial" w:hAnsi="Arial" w:cs="Arial"/>
        </w:rPr>
        <w:t xml:space="preserve"> – Michigan high school and college students traditionally study the “three Rs” </w:t>
      </w:r>
      <w:r w:rsidRPr="002D4249">
        <w:rPr>
          <w:rFonts w:ascii="Arial" w:hAnsi="Arial" w:cs="Arial"/>
        </w:rPr>
        <w:t>—</w:t>
      </w:r>
      <w:r>
        <w:rPr>
          <w:rFonts w:ascii="Arial" w:hAnsi="Arial" w:cs="Arial"/>
        </w:rPr>
        <w:t xml:space="preserve"> reading, writing and </w:t>
      </w:r>
      <w:proofErr w:type="spellStart"/>
      <w:r>
        <w:rPr>
          <w:rFonts w:ascii="Arial" w:hAnsi="Arial" w:cs="Arial"/>
        </w:rPr>
        <w:t>ʼrithmetic</w:t>
      </w:r>
      <w:proofErr w:type="spellEnd"/>
      <w:r>
        <w:rPr>
          <w:rFonts w:ascii="Arial" w:hAnsi="Arial" w:cs="Arial"/>
        </w:rPr>
        <w:t xml:space="preserve"> </w:t>
      </w:r>
      <w:r w:rsidRPr="002D4249">
        <w:rPr>
          <w:rFonts w:ascii="Arial" w:hAnsi="Arial" w:cs="Arial"/>
        </w:rPr>
        <w:t>—</w:t>
      </w:r>
      <w:r>
        <w:rPr>
          <w:rFonts w:ascii="Arial" w:hAnsi="Arial" w:cs="Arial"/>
        </w:rPr>
        <w:t xml:space="preserve"> but the gaming industry and regulators advocate adding a fourth R </w:t>
      </w:r>
      <w:r w:rsidRPr="002D4249">
        <w:rPr>
          <w:rFonts w:ascii="Arial" w:hAnsi="Arial" w:cs="Arial"/>
        </w:rPr>
        <w:t>—</w:t>
      </w:r>
      <w:r>
        <w:rPr>
          <w:rFonts w:ascii="Arial" w:hAnsi="Arial" w:cs="Arial"/>
        </w:rPr>
        <w:t xml:space="preserve"> responsible gaming </w:t>
      </w:r>
      <w:r w:rsidRPr="002D4249">
        <w:rPr>
          <w:rFonts w:ascii="Arial" w:hAnsi="Arial" w:cs="Arial"/>
        </w:rPr>
        <w:t>—</w:t>
      </w:r>
      <w:r>
        <w:rPr>
          <w:rFonts w:ascii="Arial" w:hAnsi="Arial" w:cs="Arial"/>
        </w:rPr>
        <w:t xml:space="preserve">  this month as a new school year begins.</w:t>
      </w:r>
    </w:p>
    <w:p w14:paraId="06E77C6B" w14:textId="77777777" w:rsidR="00B32708" w:rsidRDefault="00B32708" w:rsidP="00B32708">
      <w:pPr>
        <w:rPr>
          <w:rFonts w:ascii="Arial" w:hAnsi="Arial" w:cs="Arial"/>
        </w:rPr>
      </w:pPr>
    </w:p>
    <w:p w14:paraId="65130294" w14:textId="799CBFE0" w:rsidR="00B32708" w:rsidRDefault="00B32708" w:rsidP="00B32708">
      <w:pPr>
        <w:rPr>
          <w:rFonts w:ascii="Arial" w:hAnsi="Arial" w:cs="Arial"/>
        </w:rPr>
      </w:pPr>
      <w:r>
        <w:rPr>
          <w:rFonts w:ascii="Arial" w:hAnsi="Arial" w:cs="Arial"/>
        </w:rPr>
        <w:t xml:space="preserve">“As fall sports begin, it’s a great time to remind everyone to have fun responsibly when wagering on sporting events throughout the season,” said Henry Williams, Michigan Gaming Control Board executive director. “During September, the MGCB wants to raise awareness of responsible gaming particularly among young people and joins the </w:t>
      </w:r>
      <w:hyperlink r:id="rId8" w:history="1">
        <w:r w:rsidRPr="00295F38">
          <w:rPr>
            <w:rStyle w:val="Hyperlink"/>
            <w:rFonts w:ascii="Arial" w:hAnsi="Arial" w:cs="Arial"/>
          </w:rPr>
          <w:t>American Gaming Association</w:t>
        </w:r>
      </w:hyperlink>
      <w:r>
        <w:rPr>
          <w:rFonts w:ascii="Arial" w:hAnsi="Arial" w:cs="Arial"/>
        </w:rPr>
        <w:t xml:space="preserve"> and its members as they introduce Responsible Gaming Education Month. The MGCB will use its social media channels throughout the month to help raise responsible gaming awareness in Michigan.”</w:t>
      </w:r>
    </w:p>
    <w:p w14:paraId="0D79FE9F" w14:textId="77777777" w:rsidR="00B32708" w:rsidRDefault="00B32708" w:rsidP="00B32708">
      <w:pPr>
        <w:rPr>
          <w:rFonts w:ascii="Arial" w:hAnsi="Arial" w:cs="Arial"/>
        </w:rPr>
      </w:pPr>
    </w:p>
    <w:p w14:paraId="2556E067" w14:textId="12C7CF3D" w:rsidR="00B32708" w:rsidRDefault="00B32708" w:rsidP="00B32708">
      <w:pPr>
        <w:rPr>
          <w:rFonts w:ascii="Arial" w:hAnsi="Arial" w:cs="Arial"/>
          <w:color w:val="000000"/>
          <w:spacing w:val="4"/>
          <w:shd w:val="clear" w:color="auto" w:fill="FFFFFF"/>
        </w:rPr>
      </w:pPr>
      <w:r w:rsidRPr="00451ADE">
        <w:rPr>
          <w:rFonts w:ascii="Arial" w:hAnsi="Arial" w:cs="Arial"/>
          <w:color w:val="000000"/>
        </w:rPr>
        <w:t xml:space="preserve">According to </w:t>
      </w:r>
      <w:hyperlink r:id="rId9" w:anchor=":~:text=In%20general%2C%20between%2060-80%25%20of%20high%20school%20students,as%20an%20innocuous%20behavior%20with%20few%20negative%20consequences." w:history="1">
        <w:r w:rsidRPr="00015475">
          <w:rPr>
            <w:rStyle w:val="Hyperlink"/>
            <w:rFonts w:ascii="Arial" w:hAnsi="Arial" w:cs="Arial"/>
          </w:rPr>
          <w:t>National Council on Problem Gambling</w:t>
        </w:r>
      </w:hyperlink>
      <w:r w:rsidRPr="00451ADE">
        <w:rPr>
          <w:rFonts w:ascii="Arial" w:hAnsi="Arial" w:cs="Arial"/>
          <w:color w:val="000000"/>
        </w:rPr>
        <w:t xml:space="preserve"> statistics, between 60% and 80% of high school students say they gambled for money in the past year. Additionally, NCPG says 4% to 6% of high school students are considered addicted to gambling. The research platform </w:t>
      </w:r>
      <w:proofErr w:type="spellStart"/>
      <w:r w:rsidRPr="00451ADE">
        <w:rPr>
          <w:rFonts w:ascii="Arial" w:hAnsi="Arial" w:cs="Arial"/>
          <w:color w:val="000000"/>
        </w:rPr>
        <w:t>EarthWeb</w:t>
      </w:r>
      <w:proofErr w:type="spellEnd"/>
      <w:r w:rsidRPr="00451ADE">
        <w:rPr>
          <w:rFonts w:ascii="Arial" w:hAnsi="Arial" w:cs="Arial"/>
          <w:color w:val="000000"/>
        </w:rPr>
        <w:t xml:space="preserve"> </w:t>
      </w:r>
      <w:hyperlink r:id="rId10" w:anchor="Key_Gambling_Addiction_Statistics_2022" w:history="1">
        <w:r w:rsidRPr="00451ADE">
          <w:rPr>
            <w:rStyle w:val="Hyperlink"/>
            <w:rFonts w:ascii="Arial" w:hAnsi="Arial" w:cs="Arial"/>
          </w:rPr>
          <w:t>reports</w:t>
        </w:r>
      </w:hyperlink>
      <w:r w:rsidRPr="00451ADE">
        <w:rPr>
          <w:rFonts w:ascii="Arial" w:hAnsi="Arial" w:cs="Arial"/>
          <w:color w:val="000000"/>
        </w:rPr>
        <w:t xml:space="preserve"> an estimated </w:t>
      </w:r>
      <w:r w:rsidRPr="00451ADE">
        <w:rPr>
          <w:rFonts w:ascii="Arial" w:hAnsi="Arial" w:cs="Arial"/>
          <w:color w:val="000000"/>
          <w:spacing w:val="4"/>
          <w:shd w:val="clear" w:color="auto" w:fill="FFFFFF"/>
        </w:rPr>
        <w:t>6% of American college students battle against gambling problem</w:t>
      </w:r>
      <w:r w:rsidR="00EC14B0">
        <w:rPr>
          <w:rFonts w:ascii="Arial" w:hAnsi="Arial" w:cs="Arial"/>
          <w:color w:val="000000"/>
          <w:spacing w:val="4"/>
          <w:shd w:val="clear" w:color="auto" w:fill="FFFFFF"/>
        </w:rPr>
        <w:t>s</w:t>
      </w:r>
      <w:r w:rsidRPr="00451ADE">
        <w:rPr>
          <w:rFonts w:ascii="Arial" w:hAnsi="Arial" w:cs="Arial"/>
          <w:color w:val="000000"/>
          <w:spacing w:val="4"/>
          <w:shd w:val="clear" w:color="auto" w:fill="FFFFFF"/>
        </w:rPr>
        <w:t xml:space="preserve">. </w:t>
      </w:r>
    </w:p>
    <w:p w14:paraId="0B71264D" w14:textId="77777777" w:rsidR="00B32708" w:rsidRDefault="00B32708" w:rsidP="00B32708">
      <w:pPr>
        <w:rPr>
          <w:rFonts w:ascii="Arial" w:hAnsi="Arial" w:cs="Arial"/>
          <w:color w:val="000000"/>
          <w:spacing w:val="4"/>
          <w:shd w:val="clear" w:color="auto" w:fill="FFFFFF"/>
        </w:rPr>
      </w:pPr>
    </w:p>
    <w:p w14:paraId="10EB93D5" w14:textId="1D65534F" w:rsidR="00B32708" w:rsidRDefault="00B32708" w:rsidP="00B32708">
      <w:pPr>
        <w:rPr>
          <w:rFonts w:ascii="Arial" w:hAnsi="Arial" w:cs="Arial"/>
        </w:rPr>
      </w:pPr>
      <w:r w:rsidRPr="00451ADE">
        <w:rPr>
          <w:rFonts w:ascii="Arial" w:hAnsi="Arial" w:cs="Arial"/>
          <w:color w:val="000000"/>
          <w:spacing w:val="4"/>
          <w:shd w:val="clear" w:color="auto" w:fill="FFFFFF"/>
        </w:rPr>
        <w:t>A 2017 study also noted</w:t>
      </w:r>
      <w:r w:rsidRPr="00451ADE">
        <w:rPr>
          <w:rFonts w:ascii="Arial" w:hAnsi="Arial" w:cs="Arial"/>
        </w:rPr>
        <w:t xml:space="preserve"> </w:t>
      </w:r>
      <w:r>
        <w:rPr>
          <w:rFonts w:ascii="Arial" w:hAnsi="Arial" w:cs="Arial"/>
        </w:rPr>
        <w:t>13% of adolescents wagered money on sports teams as reported in</w:t>
      </w:r>
      <w:r w:rsidRPr="00B264E0">
        <w:rPr>
          <w:rFonts w:ascii="Arial" w:hAnsi="Arial" w:cs="Arial"/>
        </w:rPr>
        <w:t xml:space="preserve"> </w:t>
      </w:r>
      <w:r>
        <w:rPr>
          <w:rFonts w:ascii="Arial" w:hAnsi="Arial" w:cs="Arial"/>
        </w:rPr>
        <w:t xml:space="preserve">the </w:t>
      </w:r>
      <w:hyperlink r:id="rId11" w:history="1">
        <w:r w:rsidRPr="004861D2">
          <w:rPr>
            <w:rStyle w:val="Hyperlink"/>
            <w:rFonts w:ascii="Arial" w:hAnsi="Arial" w:cs="Arial"/>
          </w:rPr>
          <w:t>executive summary</w:t>
        </w:r>
      </w:hyperlink>
      <w:r>
        <w:rPr>
          <w:rFonts w:ascii="Arial" w:hAnsi="Arial" w:cs="Arial"/>
        </w:rPr>
        <w:t xml:space="preserve"> of </w:t>
      </w:r>
      <w:r w:rsidRPr="00B264E0">
        <w:rPr>
          <w:rFonts w:ascii="Arial" w:hAnsi="Arial" w:cs="Arial"/>
        </w:rPr>
        <w:t xml:space="preserve">a commissioned </w:t>
      </w:r>
      <w:hyperlink r:id="rId12" w:history="1">
        <w:r w:rsidRPr="004861D2">
          <w:rPr>
            <w:rStyle w:val="Hyperlink"/>
            <w:rFonts w:ascii="Arial" w:hAnsi="Arial" w:cs="Arial"/>
          </w:rPr>
          <w:t>review</w:t>
        </w:r>
      </w:hyperlink>
      <w:r>
        <w:rPr>
          <w:rFonts w:ascii="Arial" w:hAnsi="Arial" w:cs="Arial"/>
        </w:rPr>
        <w:t xml:space="preserve"> of studies on sports wagering and problem gambling for</w:t>
      </w:r>
      <w:r w:rsidRPr="00B264E0">
        <w:rPr>
          <w:rFonts w:ascii="Arial" w:hAnsi="Arial" w:cs="Arial"/>
        </w:rPr>
        <w:t xml:space="preserve"> the </w:t>
      </w:r>
      <w:r w:rsidR="00213803">
        <w:rPr>
          <w:rFonts w:ascii="Arial" w:hAnsi="Arial" w:cs="Arial"/>
        </w:rPr>
        <w:t>NCPG</w:t>
      </w:r>
      <w:r w:rsidRPr="00B264E0">
        <w:rPr>
          <w:rFonts w:ascii="Arial" w:hAnsi="Arial" w:cs="Arial"/>
        </w:rPr>
        <w:t>.</w:t>
      </w:r>
      <w:r>
        <w:rPr>
          <w:rFonts w:ascii="Arial" w:hAnsi="Arial" w:cs="Arial"/>
        </w:rPr>
        <w:t xml:space="preserve"> The review’s authors in the executive summary pointed out concerns related to risk-taking behavior prevalent among adolescents and young adults. They also cited more social acceptance and the glamorization of gambling as factors influencing behaviors.</w:t>
      </w:r>
    </w:p>
    <w:p w14:paraId="6A49932C" w14:textId="77777777" w:rsidR="00B32708" w:rsidRDefault="00B32708" w:rsidP="00B32708">
      <w:pPr>
        <w:rPr>
          <w:rFonts w:ascii="Arial" w:hAnsi="Arial" w:cs="Arial"/>
        </w:rPr>
      </w:pPr>
    </w:p>
    <w:p w14:paraId="3892FFA3" w14:textId="77777777" w:rsidR="00B32708" w:rsidRDefault="00B32708" w:rsidP="00B32708">
      <w:pPr>
        <w:rPr>
          <w:rFonts w:ascii="Arial" w:hAnsi="Arial" w:cs="Arial"/>
        </w:rPr>
      </w:pPr>
      <w:r>
        <w:rPr>
          <w:rFonts w:ascii="Arial" w:hAnsi="Arial" w:cs="Arial"/>
        </w:rPr>
        <w:lastRenderedPageBreak/>
        <w:t>Parents, siblings and peers also should be aware of the signs of problem gambling in teens and young adults, Williams said. They include:</w:t>
      </w:r>
    </w:p>
    <w:p w14:paraId="7A65DEF6" w14:textId="77777777" w:rsidR="00B32708" w:rsidRDefault="00B32708" w:rsidP="00B32708">
      <w:pPr>
        <w:pStyle w:val="ListParagraph"/>
        <w:numPr>
          <w:ilvl w:val="0"/>
          <w:numId w:val="14"/>
        </w:numPr>
        <w:spacing w:after="160" w:line="259" w:lineRule="auto"/>
        <w:rPr>
          <w:rFonts w:cs="Arial"/>
          <w:sz w:val="24"/>
          <w:szCs w:val="24"/>
        </w:rPr>
      </w:pPr>
      <w:r>
        <w:rPr>
          <w:rFonts w:cs="Arial"/>
          <w:sz w:val="24"/>
          <w:szCs w:val="24"/>
        </w:rPr>
        <w:t>Carrying gambling materials such as dice, cards or poker chips</w:t>
      </w:r>
    </w:p>
    <w:p w14:paraId="31277FE6" w14:textId="77777777" w:rsidR="00B32708" w:rsidRDefault="00B32708" w:rsidP="00B32708">
      <w:pPr>
        <w:pStyle w:val="ListParagraph"/>
        <w:numPr>
          <w:ilvl w:val="0"/>
          <w:numId w:val="14"/>
        </w:numPr>
        <w:spacing w:after="160" w:line="259" w:lineRule="auto"/>
        <w:rPr>
          <w:rFonts w:cs="Arial"/>
          <w:sz w:val="24"/>
          <w:szCs w:val="24"/>
        </w:rPr>
      </w:pPr>
      <w:r>
        <w:rPr>
          <w:rFonts w:cs="Arial"/>
          <w:sz w:val="24"/>
          <w:szCs w:val="24"/>
        </w:rPr>
        <w:t>Gambling with money that is supposed to be used for school-related purposes</w:t>
      </w:r>
    </w:p>
    <w:p w14:paraId="53627032" w14:textId="77777777" w:rsidR="00B32708" w:rsidRDefault="00B32708" w:rsidP="00B32708">
      <w:pPr>
        <w:pStyle w:val="ListParagraph"/>
        <w:numPr>
          <w:ilvl w:val="0"/>
          <w:numId w:val="14"/>
        </w:numPr>
        <w:spacing w:after="160" w:line="259" w:lineRule="auto"/>
        <w:rPr>
          <w:rFonts w:cs="Arial"/>
          <w:sz w:val="24"/>
          <w:szCs w:val="24"/>
        </w:rPr>
      </w:pPr>
      <w:r>
        <w:rPr>
          <w:rFonts w:cs="Arial"/>
          <w:sz w:val="24"/>
          <w:szCs w:val="24"/>
        </w:rPr>
        <w:t>Skipping class or other school activities to gamble</w:t>
      </w:r>
    </w:p>
    <w:p w14:paraId="02771F9C" w14:textId="77777777" w:rsidR="00B32708" w:rsidRDefault="00B32708" w:rsidP="00B32708">
      <w:pPr>
        <w:pStyle w:val="ListParagraph"/>
        <w:numPr>
          <w:ilvl w:val="0"/>
          <w:numId w:val="14"/>
        </w:numPr>
        <w:spacing w:after="160" w:line="259" w:lineRule="auto"/>
        <w:rPr>
          <w:rFonts w:cs="Arial"/>
          <w:sz w:val="24"/>
          <w:szCs w:val="24"/>
        </w:rPr>
      </w:pPr>
      <w:r>
        <w:rPr>
          <w:rFonts w:cs="Arial"/>
          <w:sz w:val="24"/>
          <w:szCs w:val="24"/>
        </w:rPr>
        <w:t>Borrowing, stealing and selling items to get money to gamble</w:t>
      </w:r>
    </w:p>
    <w:p w14:paraId="2F04574D" w14:textId="239FEEDB" w:rsidR="00B32708" w:rsidRDefault="00B32708" w:rsidP="00B32708">
      <w:pPr>
        <w:rPr>
          <w:rFonts w:ascii="Arial" w:hAnsi="Arial" w:cs="Arial"/>
        </w:rPr>
      </w:pPr>
      <w:r>
        <w:rPr>
          <w:rFonts w:ascii="Arial" w:hAnsi="Arial" w:cs="Arial"/>
        </w:rPr>
        <w:t>“While they can’t gamble legally on the internet or at a casino, young people may turn to illegal gambling options not authorized under Michigan law,” Williams said.</w:t>
      </w:r>
    </w:p>
    <w:p w14:paraId="499B024D" w14:textId="77777777" w:rsidR="00B32708" w:rsidRDefault="00B32708" w:rsidP="00B32708">
      <w:pPr>
        <w:rPr>
          <w:rFonts w:ascii="Arial" w:hAnsi="Arial" w:cs="Arial"/>
        </w:rPr>
      </w:pPr>
    </w:p>
    <w:p w14:paraId="5495DE38" w14:textId="5AB42D65" w:rsidR="00B32708" w:rsidRDefault="00B32708" w:rsidP="00B32708">
      <w:pPr>
        <w:rPr>
          <w:rFonts w:ascii="Arial" w:hAnsi="Arial" w:cs="Arial"/>
        </w:rPr>
      </w:pPr>
      <w:r>
        <w:rPr>
          <w:rFonts w:ascii="Arial" w:hAnsi="Arial" w:cs="Arial"/>
        </w:rPr>
        <w:t>In Michigan, bettors by law must be age 21 or older to place a wager on authorized internet gaming or internet sports betting sites and in the Detroit casinos. The operators must meet know your customer requirements to establish legal age and identity before opening an internet account or allowing someone on the gaming floor.</w:t>
      </w:r>
    </w:p>
    <w:p w14:paraId="4D3E6B56" w14:textId="77777777" w:rsidR="00B32708" w:rsidRDefault="00B32708" w:rsidP="00B32708">
      <w:pPr>
        <w:rPr>
          <w:rFonts w:ascii="Arial" w:hAnsi="Arial" w:cs="Arial"/>
        </w:rPr>
      </w:pPr>
    </w:p>
    <w:p w14:paraId="147AF27F" w14:textId="6EA88E71" w:rsidR="00B32708" w:rsidRDefault="00B32708" w:rsidP="00B32708">
      <w:pPr>
        <w:rPr>
          <w:rFonts w:ascii="Arial" w:hAnsi="Arial" w:cs="Arial"/>
        </w:rPr>
      </w:pPr>
      <w:r>
        <w:rPr>
          <w:rFonts w:ascii="Arial" w:hAnsi="Arial" w:cs="Arial"/>
        </w:rPr>
        <w:t xml:space="preserve">Wagers can be placed on professional and college sports in Michigan but by law cannot be placed on high school sporting events. The MGCB publishes a </w:t>
      </w:r>
      <w:hyperlink r:id="rId13" w:history="1">
        <w:r w:rsidRPr="0047107E">
          <w:rPr>
            <w:rStyle w:val="Hyperlink"/>
            <w:rFonts w:ascii="Arial" w:hAnsi="Arial" w:cs="Arial"/>
          </w:rPr>
          <w:t>sports wagering catalog</w:t>
        </w:r>
      </w:hyperlink>
      <w:r>
        <w:rPr>
          <w:rFonts w:ascii="Arial" w:hAnsi="Arial" w:cs="Arial"/>
        </w:rPr>
        <w:t xml:space="preserve"> to guide operators and bettors.</w:t>
      </w:r>
    </w:p>
    <w:p w14:paraId="536D7AD6" w14:textId="77777777" w:rsidR="00B32708" w:rsidRDefault="00B32708" w:rsidP="00B32708">
      <w:pPr>
        <w:rPr>
          <w:rFonts w:ascii="Arial" w:hAnsi="Arial" w:cs="Arial"/>
        </w:rPr>
      </w:pPr>
    </w:p>
    <w:p w14:paraId="4BB5B80B" w14:textId="77777777" w:rsidR="00B32708" w:rsidRDefault="00B32708" w:rsidP="00B32708">
      <w:pPr>
        <w:rPr>
          <w:rFonts w:ascii="Arial" w:hAnsi="Arial" w:cs="Arial"/>
        </w:rPr>
      </w:pPr>
      <w:r>
        <w:rPr>
          <w:rFonts w:ascii="Arial" w:hAnsi="Arial" w:cs="Arial"/>
        </w:rPr>
        <w:t>For users of MGCB-authorized internet gaming or sports betting sites, responsible gaming tools allow patrons to manage gambling by using self-imposed limits on:</w:t>
      </w:r>
    </w:p>
    <w:p w14:paraId="156269E5" w14:textId="77777777" w:rsidR="00B32708" w:rsidRDefault="00B32708" w:rsidP="00B32708">
      <w:pPr>
        <w:pStyle w:val="ListParagraph"/>
        <w:numPr>
          <w:ilvl w:val="0"/>
          <w:numId w:val="13"/>
        </w:numPr>
        <w:spacing w:after="160" w:line="259" w:lineRule="auto"/>
        <w:rPr>
          <w:rFonts w:cs="Arial"/>
          <w:sz w:val="24"/>
          <w:szCs w:val="24"/>
        </w:rPr>
      </w:pPr>
      <w:r>
        <w:rPr>
          <w:rFonts w:cs="Arial"/>
          <w:sz w:val="24"/>
          <w:szCs w:val="24"/>
        </w:rPr>
        <w:t>Deposits</w:t>
      </w:r>
    </w:p>
    <w:p w14:paraId="7B853F3E" w14:textId="77777777" w:rsidR="00B32708" w:rsidRDefault="00B32708" w:rsidP="00B32708">
      <w:pPr>
        <w:pStyle w:val="ListParagraph"/>
        <w:numPr>
          <w:ilvl w:val="0"/>
          <w:numId w:val="13"/>
        </w:numPr>
        <w:spacing w:after="160" w:line="259" w:lineRule="auto"/>
        <w:rPr>
          <w:rFonts w:cs="Arial"/>
          <w:sz w:val="24"/>
          <w:szCs w:val="24"/>
        </w:rPr>
      </w:pPr>
      <w:r>
        <w:rPr>
          <w:rFonts w:cs="Arial"/>
          <w:sz w:val="24"/>
          <w:szCs w:val="24"/>
        </w:rPr>
        <w:t>Wagers</w:t>
      </w:r>
    </w:p>
    <w:p w14:paraId="41D8318C" w14:textId="77777777" w:rsidR="00B32708" w:rsidRDefault="00B32708" w:rsidP="00B32708">
      <w:pPr>
        <w:pStyle w:val="ListParagraph"/>
        <w:numPr>
          <w:ilvl w:val="0"/>
          <w:numId w:val="13"/>
        </w:numPr>
        <w:spacing w:after="160" w:line="259" w:lineRule="auto"/>
        <w:rPr>
          <w:rFonts w:cs="Arial"/>
          <w:sz w:val="24"/>
          <w:szCs w:val="24"/>
        </w:rPr>
      </w:pPr>
      <w:r>
        <w:rPr>
          <w:rFonts w:cs="Arial"/>
          <w:sz w:val="24"/>
          <w:szCs w:val="24"/>
        </w:rPr>
        <w:t>Time spent gambling</w:t>
      </w:r>
    </w:p>
    <w:p w14:paraId="1DF1A3CC" w14:textId="2A0E5243" w:rsidR="00B32708" w:rsidRDefault="00B32708" w:rsidP="00B32708">
      <w:r>
        <w:rPr>
          <w:rFonts w:ascii="Arial" w:hAnsi="Arial" w:cs="Arial"/>
        </w:rPr>
        <w:t>For those who may gamble legally, self-exclusion options can help. Self-exclusion options are available through the internet site operators or their gaming providers and the MGCB’s Responsible Gaming Section. Application forms are available on the agency’s website (www.michigan.gov/mgcb</w:t>
      </w:r>
      <w:r w:rsidRPr="00B4398C">
        <w:rPr>
          <w:rFonts w:ascii="Arial" w:hAnsi="Arial" w:cs="Arial"/>
        </w:rPr>
        <w:t xml:space="preserve">: </w:t>
      </w:r>
      <w:hyperlink r:id="rId14" w:history="1">
        <w:r w:rsidRPr="00B4398C">
          <w:rPr>
            <w:rStyle w:val="Hyperlink"/>
            <w:rFonts w:ascii="Arial" w:hAnsi="Arial" w:cs="Arial"/>
          </w:rPr>
          <w:t>Disassociated Person's Forms (michigan.gov)</w:t>
        </w:r>
      </w:hyperlink>
      <w:r>
        <w:t>.</w:t>
      </w:r>
    </w:p>
    <w:p w14:paraId="0276AB1C" w14:textId="77777777" w:rsidR="00B32708" w:rsidRPr="00421DA4" w:rsidRDefault="00B32708" w:rsidP="00B32708">
      <w:pPr>
        <w:rPr>
          <w:rFonts w:ascii="Arial" w:hAnsi="Arial" w:cs="Arial"/>
        </w:rPr>
      </w:pPr>
    </w:p>
    <w:p w14:paraId="5A259E14" w14:textId="1D8F11B0" w:rsidR="00B32708" w:rsidRDefault="00B32708" w:rsidP="00B32708">
      <w:pPr>
        <w:rPr>
          <w:rFonts w:ascii="Arial" w:hAnsi="Arial" w:cs="Arial"/>
        </w:rPr>
      </w:pPr>
      <w:r>
        <w:rPr>
          <w:rFonts w:ascii="Arial" w:hAnsi="Arial" w:cs="Arial"/>
        </w:rPr>
        <w:t>“If a family member or a close friend has a gambling problem, it’s important to encourage seeking professional help,” Williams said. “The Michigan Department of Health and Human Services offers a 24-hour, toll-free helpline to call if you or someone you know has a gambling problem.”</w:t>
      </w:r>
    </w:p>
    <w:p w14:paraId="14A64F7B" w14:textId="77777777" w:rsidR="00B32708" w:rsidRDefault="00B32708" w:rsidP="00B32708">
      <w:pPr>
        <w:rPr>
          <w:rFonts w:ascii="Arial" w:hAnsi="Arial" w:cs="Arial"/>
        </w:rPr>
      </w:pPr>
    </w:p>
    <w:p w14:paraId="702E3E5A" w14:textId="2E7F08ED" w:rsidR="00B32708" w:rsidRDefault="00B32708" w:rsidP="00B32708">
      <w:pPr>
        <w:rPr>
          <w:rFonts w:ascii="Arial" w:hAnsi="Arial" w:cs="Arial"/>
        </w:rPr>
      </w:pPr>
      <w:r>
        <w:rPr>
          <w:rFonts w:ascii="Arial" w:hAnsi="Arial" w:cs="Arial"/>
        </w:rPr>
        <w:t>The MGCB Responsible Gaming Section can be reached at 888-223-3044. The MDHHS</w:t>
      </w:r>
      <w:r w:rsidR="000C28E9">
        <w:rPr>
          <w:rFonts w:ascii="Arial" w:hAnsi="Arial" w:cs="Arial"/>
        </w:rPr>
        <w:t xml:space="preserve"> gambling</w:t>
      </w:r>
      <w:r>
        <w:rPr>
          <w:rFonts w:ascii="Arial" w:hAnsi="Arial" w:cs="Arial"/>
        </w:rPr>
        <w:t xml:space="preserve"> helpline number is 800-270-7117. You also can visit MGCB’s social media channels throughout September for more responsible gaming information:</w:t>
      </w:r>
    </w:p>
    <w:p w14:paraId="391B01C6" w14:textId="77777777" w:rsidR="00B32708" w:rsidRDefault="00213803" w:rsidP="00B32708">
      <w:pPr>
        <w:pStyle w:val="ListParagraph"/>
        <w:numPr>
          <w:ilvl w:val="0"/>
          <w:numId w:val="15"/>
        </w:numPr>
        <w:spacing w:after="160" w:line="259" w:lineRule="auto"/>
        <w:rPr>
          <w:rFonts w:cs="Arial"/>
          <w:sz w:val="24"/>
          <w:szCs w:val="24"/>
        </w:rPr>
      </w:pPr>
      <w:hyperlink r:id="rId15" w:history="1">
        <w:r w:rsidR="00B32708" w:rsidRPr="00DA78A3">
          <w:rPr>
            <w:rStyle w:val="Hyperlink"/>
            <w:rFonts w:cs="Arial"/>
            <w:sz w:val="24"/>
            <w:szCs w:val="24"/>
          </w:rPr>
          <w:t>Facebook</w:t>
        </w:r>
      </w:hyperlink>
    </w:p>
    <w:p w14:paraId="5C1FE52A" w14:textId="77777777" w:rsidR="00B32708" w:rsidRDefault="00213803" w:rsidP="00B32708">
      <w:pPr>
        <w:pStyle w:val="ListParagraph"/>
        <w:numPr>
          <w:ilvl w:val="0"/>
          <w:numId w:val="15"/>
        </w:numPr>
        <w:spacing w:after="160" w:line="259" w:lineRule="auto"/>
        <w:rPr>
          <w:rFonts w:cs="Arial"/>
          <w:sz w:val="24"/>
          <w:szCs w:val="24"/>
        </w:rPr>
      </w:pPr>
      <w:hyperlink r:id="rId16" w:history="1">
        <w:r w:rsidR="00B32708" w:rsidRPr="002516F3">
          <w:rPr>
            <w:rStyle w:val="Hyperlink"/>
            <w:rFonts w:cs="Arial"/>
            <w:sz w:val="24"/>
            <w:szCs w:val="24"/>
          </w:rPr>
          <w:t>Instagram</w:t>
        </w:r>
      </w:hyperlink>
    </w:p>
    <w:p w14:paraId="4EA76D19" w14:textId="77777777" w:rsidR="00B32708" w:rsidRDefault="00213803" w:rsidP="00B32708">
      <w:pPr>
        <w:pStyle w:val="ListParagraph"/>
        <w:numPr>
          <w:ilvl w:val="0"/>
          <w:numId w:val="15"/>
        </w:numPr>
        <w:spacing w:after="160" w:line="259" w:lineRule="auto"/>
        <w:rPr>
          <w:rFonts w:cs="Arial"/>
          <w:sz w:val="24"/>
          <w:szCs w:val="24"/>
        </w:rPr>
      </w:pPr>
      <w:hyperlink r:id="rId17" w:history="1">
        <w:r w:rsidR="00B32708" w:rsidRPr="002516F3">
          <w:rPr>
            <w:rStyle w:val="Hyperlink"/>
            <w:rFonts w:cs="Arial"/>
            <w:sz w:val="24"/>
            <w:szCs w:val="24"/>
          </w:rPr>
          <w:t>LinkedIn</w:t>
        </w:r>
      </w:hyperlink>
    </w:p>
    <w:p w14:paraId="0811470E" w14:textId="77777777" w:rsidR="00B32708" w:rsidRPr="00014340" w:rsidRDefault="00213803" w:rsidP="00B32708">
      <w:pPr>
        <w:pStyle w:val="ListParagraph"/>
        <w:numPr>
          <w:ilvl w:val="0"/>
          <w:numId w:val="15"/>
        </w:numPr>
        <w:spacing w:after="160" w:line="259" w:lineRule="auto"/>
        <w:rPr>
          <w:rFonts w:cs="Arial"/>
          <w:sz w:val="24"/>
          <w:szCs w:val="24"/>
        </w:rPr>
      </w:pPr>
      <w:hyperlink r:id="rId18" w:history="1">
        <w:r w:rsidR="00B32708" w:rsidRPr="00DA78A3">
          <w:rPr>
            <w:rStyle w:val="Hyperlink"/>
            <w:rFonts w:cs="Arial"/>
            <w:sz w:val="24"/>
            <w:szCs w:val="24"/>
          </w:rPr>
          <w:t>Twitter</w:t>
        </w:r>
      </w:hyperlink>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86245"/>
    <w:multiLevelType w:val="hybridMultilevel"/>
    <w:tmpl w:val="8D4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F7325"/>
    <w:multiLevelType w:val="hybridMultilevel"/>
    <w:tmpl w:val="57F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534E5B"/>
    <w:multiLevelType w:val="hybridMultilevel"/>
    <w:tmpl w:val="688E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8"/>
  </w:num>
  <w:num w:numId="5" w16cid:durableId="118493863">
    <w:abstractNumId w:val="5"/>
  </w:num>
  <w:num w:numId="6" w16cid:durableId="77094850">
    <w:abstractNumId w:val="6"/>
  </w:num>
  <w:num w:numId="7" w16cid:durableId="778531659">
    <w:abstractNumId w:val="9"/>
  </w:num>
  <w:num w:numId="8" w16cid:durableId="50814170">
    <w:abstractNumId w:val="7"/>
  </w:num>
  <w:num w:numId="9" w16cid:durableId="161547160">
    <w:abstractNumId w:val="0"/>
  </w:num>
  <w:num w:numId="10" w16cid:durableId="2057467658">
    <w:abstractNumId w:val="4"/>
  </w:num>
  <w:num w:numId="11" w16cid:durableId="255211429">
    <w:abstractNumId w:val="13"/>
  </w:num>
  <w:num w:numId="12" w16cid:durableId="2031445248">
    <w:abstractNumId w:val="14"/>
  </w:num>
  <w:num w:numId="13" w16cid:durableId="1792283472">
    <w:abstractNumId w:val="11"/>
  </w:num>
  <w:num w:numId="14" w16cid:durableId="298416946">
    <w:abstractNumId w:val="10"/>
  </w:num>
  <w:num w:numId="15" w16cid:durableId="3187778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B194B"/>
    <w:rsid w:val="000B5B66"/>
    <w:rsid w:val="000C08D8"/>
    <w:rsid w:val="000C28E9"/>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1F74A9"/>
    <w:rsid w:val="00200EE6"/>
    <w:rsid w:val="00202BD1"/>
    <w:rsid w:val="00213803"/>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33D2"/>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14C9"/>
    <w:rsid w:val="00A76EA6"/>
    <w:rsid w:val="00AA356F"/>
    <w:rsid w:val="00AB50FF"/>
    <w:rsid w:val="00AD6F7A"/>
    <w:rsid w:val="00AE0251"/>
    <w:rsid w:val="00AE199B"/>
    <w:rsid w:val="00AE30DD"/>
    <w:rsid w:val="00B00A5D"/>
    <w:rsid w:val="00B040C4"/>
    <w:rsid w:val="00B174AE"/>
    <w:rsid w:val="00B235F8"/>
    <w:rsid w:val="00B3270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14B0"/>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ericangaming.org/event/rgem22/" TargetMode="External"/><Relationship Id="rId13" Type="http://schemas.openxmlformats.org/officeDocument/2006/relationships/hyperlink" Target="https://www.michigan.gov/mgcb/-/media/Project/Websites/mgcb/Internet-Gaming-and-Fantasy-Contests/Resources/Sports_Wagering_Catalog.xlsx?rev=771a6160277b4026b9098839cd023a55" TargetMode="External"/><Relationship Id="rId18" Type="http://schemas.openxmlformats.org/officeDocument/2006/relationships/hyperlink" Target="https://twitter.com/MichiganGCB"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cpgambling.org/sports-gambling_ncpglitrvw/" TargetMode="External"/><Relationship Id="rId17" Type="http://schemas.openxmlformats.org/officeDocument/2006/relationships/hyperlink" Target="https://www.linkedin.com/company/michigangcb/" TargetMode="External"/><Relationship Id="rId2" Type="http://schemas.openxmlformats.org/officeDocument/2006/relationships/styles" Target="styles.xml"/><Relationship Id="rId16" Type="http://schemas.openxmlformats.org/officeDocument/2006/relationships/hyperlink" Target="https://www.instagram.com/michigangcb/"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pgambling.org/sports-gambling_ncpglitrvwexecsummary/" TargetMode="External"/><Relationship Id="rId5" Type="http://schemas.openxmlformats.org/officeDocument/2006/relationships/footnotes" Target="footnotes.xml"/><Relationship Id="rId15" Type="http://schemas.openxmlformats.org/officeDocument/2006/relationships/hyperlink" Target="https://www.facebook.com/MichiganGCB" TargetMode="External"/><Relationship Id="rId10" Type="http://schemas.openxmlformats.org/officeDocument/2006/relationships/hyperlink" Target="https://earthweb.com/gambling-addiction-statistic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pgambling.org/files/HS_Fact_Sheet.pdf" TargetMode="External"/><Relationship Id="rId14" Type="http://schemas.openxmlformats.org/officeDocument/2006/relationships/hyperlink" Target="https://www.michigan.gov/mgcb/panel-forms/disassociated-person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647</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3</cp:revision>
  <cp:lastPrinted>2014-01-09T22:05:00Z</cp:lastPrinted>
  <dcterms:created xsi:type="dcterms:W3CDTF">2022-08-31T19:34:00Z</dcterms:created>
  <dcterms:modified xsi:type="dcterms:W3CDTF">2022-09-01T12:55:00Z</dcterms:modified>
</cp:coreProperties>
</file>