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677A38EB" w:rsidR="00716ED8" w:rsidRDefault="00E75BB0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475A1F94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8"/>
        <w:gridCol w:w="4642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4F67A495" w:rsidR="00716ED8" w:rsidRPr="0056091F" w:rsidRDefault="00716ED8" w:rsidP="00125D91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75BB0">
              <w:rPr>
                <w:rFonts w:ascii="Verdana" w:hAnsi="Verdana"/>
                <w:b/>
                <w:bCs/>
                <w:sz w:val="22"/>
                <w:szCs w:val="22"/>
              </w:rPr>
              <w:t>August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8214FA">
              <w:rPr>
                <w:rFonts w:ascii="Verdana" w:hAnsi="Verdana"/>
                <w:b/>
                <w:bCs/>
                <w:sz w:val="22"/>
                <w:szCs w:val="22"/>
              </w:rPr>
              <w:t>18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70383645" w14:textId="0F77AB1C" w:rsidR="00716ED8" w:rsidRPr="0056091F" w:rsidRDefault="00716ED8" w:rsidP="008709D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709DB">
              <w:rPr>
                <w:rFonts w:ascii="Verdana" w:hAnsi="Verdana"/>
                <w:sz w:val="22"/>
                <w:szCs w:val="22"/>
              </w:rPr>
              <w:t>MGCB-media</w:t>
            </w:r>
            <w:r w:rsidR="00E228C6">
              <w:rPr>
                <w:rFonts w:ascii="Verdana" w:hAnsi="Verdana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2C3E2BF9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8214FA">
        <w:rPr>
          <w:rFonts w:ascii="Verdana" w:hAnsi="Verdana"/>
          <w:sz w:val="20"/>
          <w:szCs w:val="20"/>
        </w:rPr>
        <w:t>2</w:t>
      </w:r>
      <w:r w:rsidR="00B6561B" w:rsidRPr="00345C74">
        <w:rPr>
          <w:rFonts w:ascii="Verdana" w:hAnsi="Verdana"/>
          <w:sz w:val="20"/>
          <w:szCs w:val="20"/>
        </w:rPr>
        <w:t>:</w:t>
      </w:r>
      <w:r w:rsidR="006939EE">
        <w:rPr>
          <w:rFonts w:ascii="Verdana" w:hAnsi="Verdana"/>
          <w:sz w:val="20"/>
          <w:szCs w:val="20"/>
        </w:rPr>
        <w:t>3</w:t>
      </w:r>
      <w:r w:rsidR="00B6561B" w:rsidRPr="00345C74">
        <w:rPr>
          <w:rFonts w:ascii="Verdana" w:hAnsi="Verdana"/>
          <w:sz w:val="20"/>
          <w:szCs w:val="20"/>
        </w:rPr>
        <w:t>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8214FA">
        <w:rPr>
          <w:rFonts w:ascii="Verdana" w:hAnsi="Verdana"/>
          <w:sz w:val="20"/>
          <w:szCs w:val="20"/>
        </w:rPr>
        <w:t>p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2CE2A965" w14:textId="1F6C8C5B" w:rsidR="007B62E1" w:rsidRDefault="007B62E1" w:rsidP="007B62E1">
      <w:pPr>
        <w:rPr>
          <w:rFonts w:ascii="Arial" w:hAnsi="Arial" w:cs="Arial"/>
          <w:b/>
          <w:bCs/>
          <w:sz w:val="22"/>
          <w:szCs w:val="22"/>
        </w:rPr>
      </w:pPr>
    </w:p>
    <w:p w14:paraId="22F501F3" w14:textId="77777777" w:rsidR="00E75BB0" w:rsidRPr="002148D4" w:rsidRDefault="00E75BB0" w:rsidP="00E75BB0">
      <w:pPr>
        <w:rPr>
          <w:rFonts w:ascii="Arial" w:hAnsi="Arial" w:cs="Arial"/>
          <w:b/>
          <w:bCs/>
          <w:sz w:val="40"/>
          <w:szCs w:val="40"/>
        </w:rPr>
      </w:pPr>
      <w:r w:rsidRPr="002148D4">
        <w:rPr>
          <w:rFonts w:ascii="Arial" w:hAnsi="Arial" w:cs="Arial"/>
          <w:b/>
          <w:bCs/>
          <w:sz w:val="40"/>
          <w:szCs w:val="40"/>
        </w:rPr>
        <w:t xml:space="preserve">Michigan internet gaming and sports betting operators report combined $148.2 million July total gross receipts </w:t>
      </w:r>
    </w:p>
    <w:p w14:paraId="09199F69" w14:textId="77777777" w:rsidR="00E75BB0" w:rsidRDefault="00E75BB0" w:rsidP="00E75BB0">
      <w:pPr>
        <w:rPr>
          <w:rFonts w:ascii="Arial" w:hAnsi="Arial" w:cs="Arial"/>
          <w:b/>
          <w:bCs/>
        </w:rPr>
      </w:pPr>
    </w:p>
    <w:p w14:paraId="2C588120" w14:textId="2DEBFB35" w:rsidR="00E75BB0" w:rsidRDefault="00E75BB0" w:rsidP="00E75BB0">
      <w:pPr>
        <w:rPr>
          <w:rFonts w:ascii="Arial" w:hAnsi="Arial" w:cs="Arial"/>
        </w:rPr>
      </w:pPr>
      <w:r w:rsidRPr="002148D4">
        <w:rPr>
          <w:rFonts w:ascii="Arial" w:hAnsi="Arial" w:cs="Arial"/>
          <w:b/>
          <w:bCs/>
        </w:rPr>
        <w:t>Detroit, Aug. 18, 2022</w:t>
      </w:r>
      <w:r w:rsidRPr="002148D4">
        <w:rPr>
          <w:rFonts w:ascii="Arial" w:hAnsi="Arial" w:cs="Arial"/>
        </w:rPr>
        <w:t xml:space="preserve"> - Michigan commercial and tribal operators in July reported a combined $148.2 million total gross internet gaming receipts and gross internet sports betting receipts. Receipts increased 8.3% from June results of $136.9 million.</w:t>
      </w:r>
    </w:p>
    <w:p w14:paraId="5110FC7D" w14:textId="77777777" w:rsidR="00E75BB0" w:rsidRPr="002148D4" w:rsidRDefault="00E75BB0" w:rsidP="00E75BB0">
      <w:pPr>
        <w:rPr>
          <w:rFonts w:ascii="Arial" w:hAnsi="Arial" w:cs="Arial"/>
        </w:rPr>
      </w:pPr>
    </w:p>
    <w:p w14:paraId="5A5E64CB" w14:textId="7144A230" w:rsidR="00E75BB0" w:rsidRDefault="00E75BB0" w:rsidP="00E75BB0">
      <w:pPr>
        <w:rPr>
          <w:rFonts w:ascii="Arial" w:hAnsi="Arial" w:cs="Arial"/>
        </w:rPr>
      </w:pPr>
      <w:r w:rsidRPr="002148D4">
        <w:rPr>
          <w:rFonts w:ascii="Arial" w:hAnsi="Arial" w:cs="Arial"/>
        </w:rPr>
        <w:t>Internet gaming gross receipts for July were $126.6 million, up 4</w:t>
      </w:r>
      <w:r w:rsidR="00D037F9">
        <w:rPr>
          <w:rFonts w:ascii="Arial" w:hAnsi="Arial" w:cs="Arial"/>
        </w:rPr>
        <w:t>.2</w:t>
      </w:r>
      <w:r w:rsidRPr="002148D4">
        <w:rPr>
          <w:rFonts w:ascii="Arial" w:hAnsi="Arial" w:cs="Arial"/>
        </w:rPr>
        <w:t>% from the $121.5 million reported in June. Gross sports betting receipts were $21.6 million compared with $15.4 million in June for a 40% increase.</w:t>
      </w:r>
    </w:p>
    <w:p w14:paraId="5B8285CE" w14:textId="77777777" w:rsidR="00E75BB0" w:rsidRPr="002148D4" w:rsidRDefault="00E75BB0" w:rsidP="00E75BB0">
      <w:pPr>
        <w:rPr>
          <w:rFonts w:ascii="Arial" w:hAnsi="Arial" w:cs="Arial"/>
        </w:rPr>
      </w:pPr>
    </w:p>
    <w:p w14:paraId="724D941D" w14:textId="612D487A" w:rsidR="00E75BB0" w:rsidRDefault="00E75BB0" w:rsidP="00E75BB0">
      <w:pPr>
        <w:rPr>
          <w:rFonts w:ascii="Arial" w:hAnsi="Arial" w:cs="Arial"/>
        </w:rPr>
      </w:pPr>
      <w:r w:rsidRPr="002148D4">
        <w:rPr>
          <w:rFonts w:ascii="Arial" w:hAnsi="Arial" w:cs="Arial"/>
        </w:rPr>
        <w:t>Combined total adjusted internet gaming gross receipts and adjusted gross sports betting receipts were $131.2 million, including  $117.2 million from internet gaming and $14 million from sports betting. Monthly internet gaming adjusted gross receipts rose 7.1%, and internet sports betting adjusted gross receipts climbed</w:t>
      </w:r>
      <w:r w:rsidR="00D037F9">
        <w:rPr>
          <w:rFonts w:ascii="Arial" w:hAnsi="Arial" w:cs="Arial"/>
        </w:rPr>
        <w:t xml:space="preserve"> </w:t>
      </w:r>
      <w:r w:rsidR="00D037F9" w:rsidRPr="00D037F9">
        <w:rPr>
          <w:rFonts w:ascii="Arial" w:hAnsi="Arial" w:cs="Arial"/>
        </w:rPr>
        <w:t>by $9 million or 179.5%</w:t>
      </w:r>
      <w:r w:rsidRPr="002148D4">
        <w:rPr>
          <w:rFonts w:ascii="Arial" w:hAnsi="Arial" w:cs="Arial"/>
        </w:rPr>
        <w:t xml:space="preserve">. </w:t>
      </w:r>
    </w:p>
    <w:p w14:paraId="5D81DE38" w14:textId="77777777" w:rsidR="00E75BB0" w:rsidRPr="002148D4" w:rsidRDefault="00E75BB0" w:rsidP="00E75BB0">
      <w:pPr>
        <w:rPr>
          <w:rFonts w:ascii="Arial" w:hAnsi="Arial" w:cs="Arial"/>
        </w:rPr>
      </w:pPr>
    </w:p>
    <w:p w14:paraId="25380A9B" w14:textId="5A36E48E" w:rsidR="00E75BB0" w:rsidRDefault="00E75BB0" w:rsidP="00E75BB0">
      <w:pPr>
        <w:rPr>
          <w:rFonts w:ascii="Arial" w:hAnsi="Arial" w:cs="Arial"/>
        </w:rPr>
      </w:pPr>
      <w:r w:rsidRPr="002148D4">
        <w:rPr>
          <w:rFonts w:ascii="Arial" w:hAnsi="Arial" w:cs="Arial"/>
        </w:rPr>
        <w:t xml:space="preserve">Compared with July 2021, internet </w:t>
      </w:r>
      <w:r>
        <w:rPr>
          <w:rFonts w:ascii="Arial" w:hAnsi="Arial" w:cs="Arial"/>
        </w:rPr>
        <w:t>g</w:t>
      </w:r>
      <w:r w:rsidRPr="002148D4">
        <w:rPr>
          <w:rFonts w:ascii="Arial" w:hAnsi="Arial" w:cs="Arial"/>
        </w:rPr>
        <w:t>aming adjusted gross receipts were up 41%, and internet sports betting adjuste</w:t>
      </w:r>
      <w:r>
        <w:rPr>
          <w:rFonts w:ascii="Arial" w:hAnsi="Arial" w:cs="Arial"/>
        </w:rPr>
        <w:t>d</w:t>
      </w:r>
      <w:r w:rsidRPr="002148D4">
        <w:rPr>
          <w:rFonts w:ascii="Arial" w:hAnsi="Arial" w:cs="Arial"/>
        </w:rPr>
        <w:t xml:space="preserve"> gross receipts rose 13%.</w:t>
      </w:r>
    </w:p>
    <w:p w14:paraId="06EB101A" w14:textId="77777777" w:rsidR="00E75BB0" w:rsidRPr="002148D4" w:rsidRDefault="00E75BB0" w:rsidP="00E75BB0">
      <w:pPr>
        <w:rPr>
          <w:rFonts w:ascii="Arial" w:hAnsi="Arial" w:cs="Arial"/>
        </w:rPr>
      </w:pPr>
    </w:p>
    <w:p w14:paraId="71FBAFB3" w14:textId="02D57A3C" w:rsidR="00E75BB0" w:rsidRDefault="00E75BB0" w:rsidP="00E75BB0">
      <w:pPr>
        <w:rPr>
          <w:rFonts w:ascii="Arial" w:hAnsi="Arial" w:cs="Arial"/>
        </w:rPr>
      </w:pPr>
      <w:r w:rsidRPr="002148D4">
        <w:rPr>
          <w:rFonts w:ascii="Arial" w:hAnsi="Arial" w:cs="Arial"/>
        </w:rPr>
        <w:t>Total internet sports betting handle at $206.1 million dropped 23.7% when compared with the June handle of $270 million.</w:t>
      </w:r>
    </w:p>
    <w:p w14:paraId="52BEF988" w14:textId="77777777" w:rsidR="00E75BB0" w:rsidRPr="002148D4" w:rsidRDefault="00E75BB0" w:rsidP="00E75BB0">
      <w:pPr>
        <w:rPr>
          <w:rFonts w:ascii="Arial" w:hAnsi="Arial" w:cs="Arial"/>
        </w:rPr>
      </w:pPr>
    </w:p>
    <w:p w14:paraId="5F906C99" w14:textId="77777777" w:rsidR="00E75BB0" w:rsidRPr="002148D4" w:rsidRDefault="00E75BB0" w:rsidP="00E75BB0">
      <w:pPr>
        <w:rPr>
          <w:rFonts w:ascii="Arial" w:hAnsi="Arial" w:cs="Arial"/>
        </w:rPr>
      </w:pPr>
      <w:r w:rsidRPr="002148D4">
        <w:rPr>
          <w:rFonts w:ascii="Arial" w:hAnsi="Arial" w:cs="Arial"/>
        </w:rPr>
        <w:t>The operators submitted $</w:t>
      </w:r>
      <w:r>
        <w:rPr>
          <w:rFonts w:ascii="Arial" w:hAnsi="Arial" w:cs="Arial"/>
        </w:rPr>
        <w:t>24.9 million</w:t>
      </w:r>
      <w:r w:rsidRPr="002148D4">
        <w:rPr>
          <w:rFonts w:ascii="Arial" w:hAnsi="Arial" w:cs="Arial"/>
        </w:rPr>
        <w:t xml:space="preserve"> in taxes and payments to the State of Michigan during July, including:</w:t>
      </w:r>
    </w:p>
    <w:p w14:paraId="42A30C1D" w14:textId="77777777" w:rsidR="00E75BB0" w:rsidRPr="002148D4" w:rsidRDefault="00E75BB0" w:rsidP="00E75BB0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2148D4">
        <w:rPr>
          <w:rFonts w:cs="Arial"/>
          <w:sz w:val="24"/>
          <w:szCs w:val="24"/>
        </w:rPr>
        <w:t>Internet gaming taxes and fees: $24.1 million</w:t>
      </w:r>
    </w:p>
    <w:p w14:paraId="041488E9" w14:textId="77777777" w:rsidR="00E75BB0" w:rsidRPr="002148D4" w:rsidRDefault="00E75BB0" w:rsidP="00E75BB0">
      <w:pPr>
        <w:pStyle w:val="ListParagraph"/>
        <w:numPr>
          <w:ilvl w:val="0"/>
          <w:numId w:val="13"/>
        </w:numPr>
        <w:spacing w:after="160" w:line="259" w:lineRule="auto"/>
        <w:rPr>
          <w:rFonts w:cs="Arial"/>
          <w:sz w:val="24"/>
          <w:szCs w:val="24"/>
        </w:rPr>
      </w:pPr>
      <w:r w:rsidRPr="002148D4">
        <w:rPr>
          <w:rFonts w:cs="Arial"/>
          <w:sz w:val="24"/>
          <w:szCs w:val="24"/>
        </w:rPr>
        <w:t>Internet sports betting taxes and fees: $815,409</w:t>
      </w:r>
    </w:p>
    <w:p w14:paraId="22D4F3FD" w14:textId="5BB341BA" w:rsidR="00E75BB0" w:rsidRPr="002148D4" w:rsidRDefault="00E75BB0" w:rsidP="00E75BB0">
      <w:pPr>
        <w:rPr>
          <w:rFonts w:ascii="Arial" w:hAnsi="Arial" w:cs="Arial"/>
        </w:rPr>
      </w:pPr>
      <w:r w:rsidRPr="002148D4">
        <w:rPr>
          <w:rFonts w:ascii="Arial" w:hAnsi="Arial" w:cs="Arial"/>
        </w:rPr>
        <w:lastRenderedPageBreak/>
        <w:t>The three Detroit casinos reported paying the City of Detroit $</w:t>
      </w:r>
      <w:r>
        <w:rPr>
          <w:rFonts w:ascii="Arial" w:hAnsi="Arial" w:cs="Arial"/>
        </w:rPr>
        <w:t>6.9 million</w:t>
      </w:r>
      <w:r w:rsidRPr="002148D4">
        <w:rPr>
          <w:rFonts w:ascii="Arial" w:hAnsi="Arial" w:cs="Arial"/>
        </w:rPr>
        <w:t xml:space="preserve"> in wagering taxes and municipal services fees during Ju</w:t>
      </w:r>
      <w:r w:rsidR="00D037F9">
        <w:rPr>
          <w:rFonts w:ascii="Arial" w:hAnsi="Arial" w:cs="Arial"/>
        </w:rPr>
        <w:t>ly</w:t>
      </w:r>
      <w:r w:rsidRPr="002148D4">
        <w:rPr>
          <w:rFonts w:ascii="Arial" w:hAnsi="Arial" w:cs="Arial"/>
        </w:rPr>
        <w:t xml:space="preserve"> including:</w:t>
      </w:r>
    </w:p>
    <w:p w14:paraId="5EA1043B" w14:textId="77777777" w:rsidR="00E75BB0" w:rsidRPr="002148D4" w:rsidRDefault="00E75BB0" w:rsidP="00E75BB0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2148D4">
        <w:rPr>
          <w:rFonts w:cs="Arial"/>
          <w:sz w:val="24"/>
          <w:szCs w:val="24"/>
        </w:rPr>
        <w:t>Internet gaming taxes and fees: $6.5 million</w:t>
      </w:r>
    </w:p>
    <w:p w14:paraId="622C24AC" w14:textId="77777777" w:rsidR="00E75BB0" w:rsidRPr="002148D4" w:rsidRDefault="00E75BB0" w:rsidP="00E75BB0">
      <w:pPr>
        <w:pStyle w:val="ListParagraph"/>
        <w:numPr>
          <w:ilvl w:val="0"/>
          <w:numId w:val="14"/>
        </w:numPr>
        <w:spacing w:after="160" w:line="259" w:lineRule="auto"/>
        <w:rPr>
          <w:rFonts w:cs="Arial"/>
          <w:sz w:val="24"/>
          <w:szCs w:val="24"/>
        </w:rPr>
      </w:pPr>
      <w:r w:rsidRPr="002148D4">
        <w:rPr>
          <w:rFonts w:cs="Arial"/>
          <w:sz w:val="24"/>
          <w:szCs w:val="24"/>
        </w:rPr>
        <w:t>Internet sports betting taxes and fees: $386,187</w:t>
      </w:r>
    </w:p>
    <w:p w14:paraId="6DEBEB29" w14:textId="0EA97A0F" w:rsidR="00E75BB0" w:rsidRDefault="00E75BB0" w:rsidP="00E75BB0">
      <w:pPr>
        <w:rPr>
          <w:rFonts w:ascii="Arial" w:hAnsi="Arial" w:cs="Arial"/>
        </w:rPr>
      </w:pPr>
      <w:r w:rsidRPr="002148D4">
        <w:rPr>
          <w:rFonts w:ascii="Arial" w:hAnsi="Arial" w:cs="Arial"/>
        </w:rPr>
        <w:t>Tribal operators reported making $2.7 million in payments to governing bodies.</w:t>
      </w:r>
    </w:p>
    <w:p w14:paraId="16BC5629" w14:textId="77777777" w:rsidR="00E75BB0" w:rsidRDefault="00E75BB0" w:rsidP="00E75BB0">
      <w:pPr>
        <w:rPr>
          <w:rFonts w:ascii="Arial" w:hAnsi="Arial" w:cs="Arial"/>
        </w:rPr>
      </w:pPr>
    </w:p>
    <w:p w14:paraId="3D092FB6" w14:textId="154AB419" w:rsidR="00E75BB0" w:rsidRDefault="00E75BB0" w:rsidP="00E75BB0">
      <w:pPr>
        <w:rPr>
          <w:rFonts w:ascii="Arial" w:hAnsi="Arial" w:cs="Arial"/>
        </w:rPr>
      </w:pPr>
      <w:r w:rsidRPr="002148D4">
        <w:rPr>
          <w:rFonts w:ascii="Arial" w:hAnsi="Arial" w:cs="Arial"/>
        </w:rPr>
        <w:t>During the first seven months of 2022, aggregate internet gaming adjusted gross receipts totaled $798.9 million, and aggregate internet sports betting adjusted gross receipts were $88.1 million.</w:t>
      </w:r>
    </w:p>
    <w:p w14:paraId="22B11E0E" w14:textId="77777777" w:rsidR="00E75BB0" w:rsidRPr="002148D4" w:rsidRDefault="00E75BB0" w:rsidP="00E75BB0">
      <w:pPr>
        <w:rPr>
          <w:rFonts w:ascii="Arial" w:hAnsi="Arial" w:cs="Arial"/>
        </w:rPr>
      </w:pPr>
    </w:p>
    <w:p w14:paraId="24782459" w14:textId="7FDAB9E7" w:rsidR="00E75BB0" w:rsidRDefault="00E75BB0" w:rsidP="00E75BB0">
      <w:pPr>
        <w:rPr>
          <w:rFonts w:ascii="Arial" w:hAnsi="Arial" w:cs="Arial"/>
        </w:rPr>
      </w:pPr>
      <w:r w:rsidRPr="002148D4">
        <w:rPr>
          <w:rFonts w:ascii="Arial" w:hAnsi="Arial" w:cs="Arial"/>
        </w:rPr>
        <w:t xml:space="preserve">An online gaming and sports betting revenue distribution </w:t>
      </w:r>
      <w:hyperlink r:id="rId8" w:history="1">
        <w:r w:rsidRPr="00A257E8">
          <w:rPr>
            <w:rStyle w:val="Hyperlink"/>
            <w:rFonts w:ascii="Arial" w:hAnsi="Arial" w:cs="Arial"/>
          </w:rPr>
          <w:t>table</w:t>
        </w:r>
      </w:hyperlink>
      <w:r w:rsidRPr="002148D4">
        <w:rPr>
          <w:rFonts w:ascii="Arial" w:hAnsi="Arial" w:cs="Arial"/>
        </w:rPr>
        <w:t xml:space="preserve"> is available on the agency's website.</w:t>
      </w:r>
    </w:p>
    <w:p w14:paraId="051AC350" w14:textId="77777777" w:rsidR="00E75BB0" w:rsidRPr="002148D4" w:rsidRDefault="00E75BB0" w:rsidP="00E75BB0">
      <w:pPr>
        <w:rPr>
          <w:rFonts w:ascii="Arial" w:hAnsi="Arial" w:cs="Arial"/>
        </w:rPr>
      </w:pPr>
    </w:p>
    <w:p w14:paraId="30172BE5" w14:textId="77777777" w:rsidR="00E75BB0" w:rsidRPr="002148D4" w:rsidRDefault="00E75BB0" w:rsidP="00E75BB0">
      <w:pPr>
        <w:rPr>
          <w:rFonts w:ascii="Arial" w:hAnsi="Arial" w:cs="Arial"/>
        </w:rPr>
      </w:pPr>
      <w:r w:rsidRPr="002148D4">
        <w:rPr>
          <w:rFonts w:ascii="Arial" w:hAnsi="Arial" w:cs="Arial"/>
        </w:rPr>
        <w:t xml:space="preserve">During July, 15 operators were authorized for both forms of online wagering. Details for each operator's internet gaming and internet sports betting </w:t>
      </w:r>
      <w:hyperlink r:id="rId9" w:history="1">
        <w:r w:rsidRPr="00A257E8">
          <w:rPr>
            <w:rStyle w:val="Hyperlink"/>
            <w:rFonts w:ascii="Arial" w:hAnsi="Arial" w:cs="Arial"/>
          </w:rPr>
          <w:t>results</w:t>
        </w:r>
      </w:hyperlink>
      <w:r w:rsidRPr="002148D4">
        <w:rPr>
          <w:rFonts w:ascii="Arial" w:hAnsi="Arial" w:cs="Arial"/>
        </w:rPr>
        <w:t xml:space="preserve"> are available on the MGCB website.</w:t>
      </w:r>
    </w:p>
    <w:p w14:paraId="03FBC790" w14:textId="77777777" w:rsidR="00E75BB0" w:rsidRPr="002148D4" w:rsidRDefault="00E75BB0" w:rsidP="00E75BB0">
      <w:pPr>
        <w:rPr>
          <w:rFonts w:ascii="Arial" w:hAnsi="Arial" w:cs="Arial"/>
        </w:rPr>
      </w:pPr>
    </w:p>
    <w:p w14:paraId="225145F1" w14:textId="65E7C611" w:rsidR="00E75BB0" w:rsidRPr="00E75BB0" w:rsidRDefault="00E75BB0" w:rsidP="00E75BB0">
      <w:pPr>
        <w:rPr>
          <w:rFonts w:ascii="Arial" w:hAnsi="Arial" w:cs="Arial"/>
          <w:b/>
          <w:bCs/>
          <w:sz w:val="22"/>
          <w:szCs w:val="22"/>
        </w:rPr>
      </w:pPr>
      <w:r w:rsidRPr="002148D4">
        <w:rPr>
          <w:rFonts w:ascii="Arial" w:hAnsi="Arial" w:cs="Arial"/>
          <w:i/>
          <w:iCs/>
        </w:rPr>
        <w:t>Gambling in any form is for entertainment purposes only. If someone has a gambling problem, please call the state's 24-hour, toll-free helpline at 1-800-270-7117 or the MGCB's responsible gaming section at 1-888-223-3044. You also may visit the MGCB website at www.michigan.gov/mgcb for information on self-exclusion programs including the Disassociated Persons List and the Internet Gaming and Sports Betting Responsible Ga</w:t>
      </w:r>
      <w:r>
        <w:rPr>
          <w:rFonts w:ascii="Arial" w:hAnsi="Arial" w:cs="Arial"/>
          <w:i/>
          <w:iCs/>
        </w:rPr>
        <w:t>ming Database.</w:t>
      </w:r>
    </w:p>
    <w:p w14:paraId="63ACC856" w14:textId="681383C0" w:rsidR="007B62E1" w:rsidRDefault="007B62E1" w:rsidP="007B6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8E78DC" w14:textId="77777777" w:rsidR="007B62E1" w:rsidRDefault="007B62E1" w:rsidP="007B62E1">
      <w:pPr>
        <w:rPr>
          <w:rFonts w:ascii="Arial" w:hAnsi="Arial" w:cs="Arial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2F"/>
    <w:multiLevelType w:val="hybridMultilevel"/>
    <w:tmpl w:val="2B24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216E1"/>
    <w:multiLevelType w:val="hybridMultilevel"/>
    <w:tmpl w:val="136E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3"/>
  </w:num>
  <w:num w:numId="2" w16cid:durableId="1653633024">
    <w:abstractNumId w:val="4"/>
  </w:num>
  <w:num w:numId="3" w16cid:durableId="1772890775">
    <w:abstractNumId w:val="2"/>
  </w:num>
  <w:num w:numId="4" w16cid:durableId="1157501143">
    <w:abstractNumId w:val="9"/>
  </w:num>
  <w:num w:numId="5" w16cid:durableId="118493863">
    <w:abstractNumId w:val="6"/>
  </w:num>
  <w:num w:numId="6" w16cid:durableId="77094850">
    <w:abstractNumId w:val="7"/>
  </w:num>
  <w:num w:numId="7" w16cid:durableId="778531659">
    <w:abstractNumId w:val="10"/>
  </w:num>
  <w:num w:numId="8" w16cid:durableId="50814170">
    <w:abstractNumId w:val="8"/>
  </w:num>
  <w:num w:numId="9" w16cid:durableId="161547160">
    <w:abstractNumId w:val="1"/>
  </w:num>
  <w:num w:numId="10" w16cid:durableId="2057467658">
    <w:abstractNumId w:val="5"/>
  </w:num>
  <w:num w:numId="11" w16cid:durableId="255211429">
    <w:abstractNumId w:val="12"/>
  </w:num>
  <w:num w:numId="12" w16cid:durableId="2031445248">
    <w:abstractNumId w:val="13"/>
  </w:num>
  <w:num w:numId="13" w16cid:durableId="1103258179">
    <w:abstractNumId w:val="0"/>
  </w:num>
  <w:num w:numId="14" w16cid:durableId="1788891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91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939EE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45DA5"/>
    <w:rsid w:val="00763690"/>
    <w:rsid w:val="00764B43"/>
    <w:rsid w:val="00772E7E"/>
    <w:rsid w:val="007779A3"/>
    <w:rsid w:val="00780C82"/>
    <w:rsid w:val="00783A60"/>
    <w:rsid w:val="00790432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214FA"/>
    <w:rsid w:val="008410C2"/>
    <w:rsid w:val="00854E9D"/>
    <w:rsid w:val="00857A92"/>
    <w:rsid w:val="008633DE"/>
    <w:rsid w:val="008709DB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95DAA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37F9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75BB0"/>
    <w:rsid w:val="00E90FE3"/>
    <w:rsid w:val="00E9539F"/>
    <w:rsid w:val="00EB0339"/>
    <w:rsid w:val="00EB5124"/>
    <w:rsid w:val="00EC47D5"/>
    <w:rsid w:val="00ED5584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detroit-casinos/resources/revenues-and-wagering-tax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2022-08-18T18:12:00Z</dcterms:created>
  <dcterms:modified xsi:type="dcterms:W3CDTF">2022-08-18T18:12:00Z</dcterms:modified>
</cp:coreProperties>
</file>