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7126"/>
      </w:tblGrid>
      <w:tr w:rsidR="00716ED8" w14:paraId="3B3D72A9" w14:textId="77777777" w:rsidTr="00D77C83">
        <w:trPr>
          <w:trHeight w:val="1812"/>
        </w:trPr>
        <w:tc>
          <w:tcPr>
            <w:tcW w:w="2073" w:type="dxa"/>
          </w:tcPr>
          <w:p w14:paraId="62622B89" w14:textId="071C91DB" w:rsidR="00716ED8" w:rsidRDefault="004F00A0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7327DE7F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6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342D2F22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F2C80">
              <w:rPr>
                <w:rFonts w:ascii="Verdana" w:hAnsi="Verdana"/>
                <w:b/>
                <w:bCs/>
                <w:sz w:val="22"/>
                <w:szCs w:val="22"/>
              </w:rPr>
              <w:t>Ju</w:t>
            </w:r>
            <w:r w:rsidR="007B62E1">
              <w:rPr>
                <w:rFonts w:ascii="Verdana" w:hAnsi="Verdana"/>
                <w:b/>
                <w:bCs/>
                <w:sz w:val="22"/>
                <w:szCs w:val="22"/>
              </w:rPr>
              <w:t>ly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D77F6B">
              <w:rPr>
                <w:rFonts w:ascii="Verdana" w:hAnsi="Verdana"/>
                <w:b/>
                <w:bCs/>
                <w:sz w:val="22"/>
                <w:szCs w:val="22"/>
              </w:rPr>
              <w:t>14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20639156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D77F6B">
        <w:rPr>
          <w:rFonts w:ascii="Verdana" w:hAnsi="Verdana"/>
          <w:sz w:val="20"/>
          <w:szCs w:val="20"/>
        </w:rPr>
        <w:t>1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77F6B">
        <w:rPr>
          <w:rFonts w:ascii="Verdana" w:hAnsi="Verdana"/>
          <w:sz w:val="20"/>
          <w:szCs w:val="20"/>
        </w:rPr>
        <w:t>p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2C4A7ADC" w:rsidR="00B6561B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40580231" w14:textId="0B58FB74" w:rsidR="0095501B" w:rsidRDefault="0095501B" w:rsidP="00B6561B">
      <w:pPr>
        <w:rPr>
          <w:rFonts w:ascii="Verdana" w:hAnsi="Verdana"/>
          <w:b/>
          <w:sz w:val="20"/>
          <w:szCs w:val="20"/>
        </w:rPr>
      </w:pPr>
    </w:p>
    <w:p w14:paraId="6FB348F6" w14:textId="6E910B76" w:rsidR="0095501B" w:rsidRDefault="0095501B" w:rsidP="00B6561B">
      <w:pPr>
        <w:rPr>
          <w:rFonts w:ascii="Arial" w:hAnsi="Arial" w:cs="Arial"/>
          <w:b/>
          <w:sz w:val="40"/>
          <w:szCs w:val="40"/>
        </w:rPr>
      </w:pPr>
      <w:r w:rsidRPr="0095501B">
        <w:rPr>
          <w:rFonts w:ascii="Arial" w:hAnsi="Arial" w:cs="Arial"/>
          <w:b/>
          <w:sz w:val="40"/>
          <w:szCs w:val="40"/>
        </w:rPr>
        <w:t>Detroit casinos report $98.6 million monthly revenue in June</w:t>
      </w:r>
      <w:r w:rsidR="00D912EF">
        <w:rPr>
          <w:rFonts w:ascii="Arial" w:hAnsi="Arial" w:cs="Arial"/>
          <w:b/>
          <w:sz w:val="40"/>
          <w:szCs w:val="40"/>
        </w:rPr>
        <w:t xml:space="preserve"> and steady quarterly revenue</w:t>
      </w:r>
    </w:p>
    <w:p w14:paraId="2AB66A63" w14:textId="204964D3" w:rsidR="0095501B" w:rsidRDefault="0095501B" w:rsidP="00B6561B">
      <w:pPr>
        <w:rPr>
          <w:rFonts w:ascii="Arial" w:hAnsi="Arial" w:cs="Arial"/>
          <w:b/>
          <w:sz w:val="22"/>
          <w:szCs w:val="22"/>
        </w:rPr>
      </w:pPr>
    </w:p>
    <w:p w14:paraId="282C365D" w14:textId="32F36C28" w:rsidR="007A223F" w:rsidRPr="007A223F" w:rsidRDefault="0095501B" w:rsidP="007A223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Detroit, July </w:t>
      </w:r>
      <w:r w:rsidR="00D77F6B"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b/>
          <w:sz w:val="22"/>
          <w:szCs w:val="22"/>
        </w:rPr>
        <w:t xml:space="preserve">, 2022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="007A223F" w:rsidRPr="007A223F">
        <w:rPr>
          <w:rFonts w:ascii="Arial" w:hAnsi="Arial" w:cs="Arial"/>
          <w:bCs/>
          <w:sz w:val="22"/>
          <w:szCs w:val="22"/>
        </w:rPr>
        <w:t>The three Detroit casinos reported $98.6 million in monthly aggregate revenue during June. Table games and slots generated $98.2 million in revenue, and retail sports betting produced $448,703 in revenue.</w:t>
      </w:r>
    </w:p>
    <w:p w14:paraId="432E5771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</w:p>
    <w:p w14:paraId="63DD52BB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>Monthly market shares were:</w:t>
      </w:r>
    </w:p>
    <w:p w14:paraId="3CBBB11E" w14:textId="77777777" w:rsidR="007A223F" w:rsidRPr="007A223F" w:rsidRDefault="007A223F" w:rsidP="007A223F">
      <w:pPr>
        <w:pStyle w:val="ListParagraph"/>
        <w:numPr>
          <w:ilvl w:val="0"/>
          <w:numId w:val="16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MGM, 49%</w:t>
      </w:r>
    </w:p>
    <w:p w14:paraId="078695EE" w14:textId="77777777" w:rsidR="007A223F" w:rsidRPr="007A223F" w:rsidRDefault="007A223F" w:rsidP="007A223F">
      <w:pPr>
        <w:pStyle w:val="ListParagraph"/>
        <w:numPr>
          <w:ilvl w:val="0"/>
          <w:numId w:val="16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MotorCity, 34%</w:t>
      </w:r>
    </w:p>
    <w:p w14:paraId="5132909E" w14:textId="77777777" w:rsidR="007A223F" w:rsidRPr="007A223F" w:rsidRDefault="007A223F" w:rsidP="007A223F">
      <w:pPr>
        <w:pStyle w:val="ListParagraph"/>
        <w:numPr>
          <w:ilvl w:val="0"/>
          <w:numId w:val="16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Hollywood Casino at Greektown, 17%</w:t>
      </w:r>
    </w:p>
    <w:p w14:paraId="6C2B0581" w14:textId="77777777" w:rsidR="007A223F" w:rsidRPr="007A223F" w:rsidRDefault="007A223F" w:rsidP="007A223F">
      <w:pPr>
        <w:rPr>
          <w:rFonts w:ascii="Arial" w:hAnsi="Arial" w:cs="Arial"/>
          <w:b/>
          <w:sz w:val="22"/>
          <w:szCs w:val="22"/>
        </w:rPr>
      </w:pPr>
      <w:r w:rsidRPr="007A223F">
        <w:rPr>
          <w:rFonts w:ascii="Arial" w:hAnsi="Arial" w:cs="Arial"/>
          <w:b/>
          <w:sz w:val="22"/>
          <w:szCs w:val="22"/>
        </w:rPr>
        <w:t>Table Games and Slot Revenue and Taxes</w:t>
      </w:r>
    </w:p>
    <w:p w14:paraId="497F2624" w14:textId="72268B45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>The casinos’ table games and slots June monthly revenue fell 7.2% compared with June 2021 results and was down 7.6% compared with May numbers. However, table games and slots revenues are up 5.2%</w:t>
      </w:r>
      <w:r w:rsidR="00D912EF">
        <w:rPr>
          <w:rFonts w:ascii="Arial" w:hAnsi="Arial" w:cs="Arial"/>
          <w:bCs/>
          <w:sz w:val="22"/>
          <w:szCs w:val="22"/>
        </w:rPr>
        <w:t xml:space="preserve"> for the first six months of the year</w:t>
      </w:r>
      <w:r w:rsidRPr="007A223F">
        <w:rPr>
          <w:rFonts w:ascii="Arial" w:hAnsi="Arial" w:cs="Arial"/>
          <w:bCs/>
          <w:sz w:val="22"/>
          <w:szCs w:val="22"/>
        </w:rPr>
        <w:t xml:space="preserve"> compared with</w:t>
      </w:r>
      <w:r w:rsidR="00D912EF">
        <w:rPr>
          <w:rFonts w:ascii="Arial" w:hAnsi="Arial" w:cs="Arial"/>
          <w:bCs/>
          <w:sz w:val="22"/>
          <w:szCs w:val="22"/>
        </w:rPr>
        <w:t xml:space="preserve"> the</w:t>
      </w:r>
      <w:r w:rsidRPr="007A223F">
        <w:rPr>
          <w:rFonts w:ascii="Arial" w:hAnsi="Arial" w:cs="Arial"/>
          <w:bCs/>
          <w:sz w:val="22"/>
          <w:szCs w:val="22"/>
        </w:rPr>
        <w:t xml:space="preserve"> first half of last year. </w:t>
      </w:r>
    </w:p>
    <w:p w14:paraId="2DE70BB8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</w:p>
    <w:p w14:paraId="03FFCB1B" w14:textId="77777777" w:rsidR="00C36C74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>Gaming revenue results were mixed compared with June 2021</w:t>
      </w:r>
      <w:r w:rsidR="00C36C74">
        <w:rPr>
          <w:rFonts w:ascii="Arial" w:hAnsi="Arial" w:cs="Arial"/>
          <w:bCs/>
          <w:sz w:val="22"/>
          <w:szCs w:val="22"/>
        </w:rPr>
        <w:t>:</w:t>
      </w:r>
    </w:p>
    <w:p w14:paraId="5413EDBB" w14:textId="0EAB95AE" w:rsidR="00C36C74" w:rsidRDefault="007A223F" w:rsidP="00C36C74">
      <w:pPr>
        <w:pStyle w:val="ListParagraph"/>
        <w:numPr>
          <w:ilvl w:val="0"/>
          <w:numId w:val="17"/>
        </w:numPr>
        <w:rPr>
          <w:rFonts w:cs="Arial"/>
          <w:bCs/>
          <w:szCs w:val="22"/>
        </w:rPr>
      </w:pPr>
      <w:r w:rsidRPr="00C36C74">
        <w:rPr>
          <w:rFonts w:cs="Arial"/>
          <w:bCs/>
          <w:szCs w:val="22"/>
        </w:rPr>
        <w:t xml:space="preserve">MGM was up by 4.3% to $48.34 million </w:t>
      </w:r>
    </w:p>
    <w:p w14:paraId="0C55246C" w14:textId="77777777" w:rsidR="00C36C74" w:rsidRDefault="00C36C74" w:rsidP="00C36C74">
      <w:pPr>
        <w:pStyle w:val="ListParagraph"/>
        <w:numPr>
          <w:ilvl w:val="0"/>
          <w:numId w:val="17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MotorCity, down</w:t>
      </w:r>
      <w:r w:rsidR="007A223F" w:rsidRPr="00C36C74">
        <w:rPr>
          <w:rFonts w:cs="Arial"/>
          <w:bCs/>
          <w:szCs w:val="22"/>
        </w:rPr>
        <w:t xml:space="preserve"> 9.8% to $33.51 million</w:t>
      </w:r>
    </w:p>
    <w:p w14:paraId="13B9671D" w14:textId="4541F6F3" w:rsidR="007A223F" w:rsidRPr="00C36C74" w:rsidRDefault="00C36C74" w:rsidP="00C36C74">
      <w:pPr>
        <w:pStyle w:val="ListParagraph"/>
        <w:numPr>
          <w:ilvl w:val="0"/>
          <w:numId w:val="17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H</w:t>
      </w:r>
      <w:r w:rsidR="007A223F" w:rsidRPr="00C36C74">
        <w:rPr>
          <w:rFonts w:cs="Arial"/>
          <w:bCs/>
          <w:szCs w:val="22"/>
        </w:rPr>
        <w:t>ollywood Casino at Greektown</w:t>
      </w:r>
      <w:r>
        <w:rPr>
          <w:rFonts w:cs="Arial"/>
          <w:bCs/>
          <w:szCs w:val="22"/>
        </w:rPr>
        <w:t>, down</w:t>
      </w:r>
      <w:r w:rsidR="007A223F" w:rsidRPr="00C36C74">
        <w:rPr>
          <w:rFonts w:cs="Arial"/>
          <w:bCs/>
          <w:szCs w:val="22"/>
        </w:rPr>
        <w:t xml:space="preserve"> 26.6% to $16.35 million </w:t>
      </w:r>
    </w:p>
    <w:p w14:paraId="32B410F2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>The three Detroit casinos paid $8 million in taxes to the state of Michigan during June compared with $8.6 million for the same period last year.</w:t>
      </w:r>
    </w:p>
    <w:p w14:paraId="40FAF1A6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</w:p>
    <w:p w14:paraId="7615500F" w14:textId="35E19AA2" w:rsidR="007A223F" w:rsidRPr="007A223F" w:rsidRDefault="00C36C74" w:rsidP="007A223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D912EF">
        <w:rPr>
          <w:rFonts w:ascii="Arial" w:hAnsi="Arial" w:cs="Arial"/>
          <w:bCs/>
          <w:sz w:val="22"/>
          <w:szCs w:val="22"/>
        </w:rPr>
        <w:t>uring June, t</w:t>
      </w:r>
      <w:r w:rsidR="007A223F" w:rsidRPr="007A223F">
        <w:rPr>
          <w:rFonts w:ascii="Arial" w:hAnsi="Arial" w:cs="Arial"/>
          <w:bCs/>
          <w:sz w:val="22"/>
          <w:szCs w:val="22"/>
        </w:rPr>
        <w:t>he three Detroit casinos reported submitting $11.7 million in wagering taxes and development agreement payments to the City of Detroit.</w:t>
      </w:r>
    </w:p>
    <w:p w14:paraId="2AAD38BA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</w:p>
    <w:p w14:paraId="5265F2FD" w14:textId="77777777" w:rsidR="007A223F" w:rsidRPr="007A223F" w:rsidRDefault="007A223F" w:rsidP="007A223F">
      <w:pPr>
        <w:rPr>
          <w:rFonts w:ascii="Arial" w:hAnsi="Arial" w:cs="Arial"/>
          <w:b/>
          <w:sz w:val="22"/>
          <w:szCs w:val="22"/>
        </w:rPr>
      </w:pPr>
      <w:r w:rsidRPr="007A223F">
        <w:rPr>
          <w:rFonts w:ascii="Arial" w:hAnsi="Arial" w:cs="Arial"/>
          <w:b/>
          <w:sz w:val="22"/>
          <w:szCs w:val="22"/>
        </w:rPr>
        <w:t>Second Quarter Table Games and Slot Revenue</w:t>
      </w:r>
    </w:p>
    <w:p w14:paraId="2C27AF53" w14:textId="4BB9C5C9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>Second quarter aggregate revenue rose a fractional 0.04% for the three Detroit casinos compared with second quarter 2021 results. Gaming revenue by casino was:</w:t>
      </w:r>
    </w:p>
    <w:p w14:paraId="097DCDB6" w14:textId="18B580F0" w:rsidR="007A223F" w:rsidRPr="007A223F" w:rsidRDefault="007A223F" w:rsidP="007A223F">
      <w:pPr>
        <w:pStyle w:val="ListParagraph"/>
        <w:numPr>
          <w:ilvl w:val="0"/>
          <w:numId w:val="15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MGM, $155.1 million, up 14.3%</w:t>
      </w:r>
    </w:p>
    <w:p w14:paraId="3A496854" w14:textId="2CAA34BA" w:rsidR="007A223F" w:rsidRPr="007A223F" w:rsidRDefault="007A223F" w:rsidP="007A223F">
      <w:pPr>
        <w:pStyle w:val="ListParagraph"/>
        <w:numPr>
          <w:ilvl w:val="0"/>
          <w:numId w:val="15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MotorCity, $104.5 million, down 9.3%</w:t>
      </w:r>
    </w:p>
    <w:p w14:paraId="2D34349C" w14:textId="77777777" w:rsidR="007A223F" w:rsidRPr="007A223F" w:rsidRDefault="007A223F" w:rsidP="007A223F">
      <w:pPr>
        <w:pStyle w:val="ListParagraph"/>
        <w:numPr>
          <w:ilvl w:val="0"/>
          <w:numId w:val="15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Hollywood Casino at Greektown, $61.7 million, down 12.1%</w:t>
      </w:r>
    </w:p>
    <w:p w14:paraId="2A944CCB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>The three Detroit casinos paid $26.03 million in second quarter gaming taxes compared with $26.02 million paid to the state of Michigan during the second quarter last year.</w:t>
      </w:r>
    </w:p>
    <w:p w14:paraId="1652C33E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</w:p>
    <w:p w14:paraId="0018DD8C" w14:textId="77777777" w:rsidR="007A223F" w:rsidRPr="007A223F" w:rsidRDefault="007A223F" w:rsidP="007A223F">
      <w:pPr>
        <w:rPr>
          <w:rFonts w:ascii="Arial" w:hAnsi="Arial" w:cs="Arial"/>
          <w:b/>
          <w:sz w:val="22"/>
          <w:szCs w:val="22"/>
        </w:rPr>
      </w:pPr>
      <w:r w:rsidRPr="007A223F">
        <w:rPr>
          <w:rFonts w:ascii="Arial" w:hAnsi="Arial" w:cs="Arial"/>
          <w:b/>
          <w:sz w:val="22"/>
          <w:szCs w:val="22"/>
        </w:rPr>
        <w:t>Retail Sports Betting Revenue and Taxes</w:t>
      </w:r>
    </w:p>
    <w:p w14:paraId="7BA052FD" w14:textId="0B2826F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>Retail sports betting qualified adjusted gross receipts (QAGR) were $448,703 in June, falling 80.5% compared with June 2021 results of $2.</w:t>
      </w:r>
      <w:r w:rsidR="000D3A5C">
        <w:rPr>
          <w:rFonts w:ascii="Arial" w:hAnsi="Arial" w:cs="Arial"/>
          <w:bCs/>
          <w:sz w:val="22"/>
          <w:szCs w:val="22"/>
        </w:rPr>
        <w:t>3</w:t>
      </w:r>
      <w:r w:rsidRPr="007A223F">
        <w:rPr>
          <w:rFonts w:ascii="Arial" w:hAnsi="Arial" w:cs="Arial"/>
          <w:bCs/>
          <w:sz w:val="22"/>
          <w:szCs w:val="22"/>
        </w:rPr>
        <w:t xml:space="preserve"> million. QAGR was down 81.2% from the $2.</w:t>
      </w:r>
      <w:r w:rsidR="000D3A5C">
        <w:rPr>
          <w:rFonts w:ascii="Arial" w:hAnsi="Arial" w:cs="Arial"/>
          <w:bCs/>
          <w:sz w:val="22"/>
          <w:szCs w:val="22"/>
        </w:rPr>
        <w:t>4</w:t>
      </w:r>
      <w:r w:rsidRPr="007A223F">
        <w:rPr>
          <w:rFonts w:ascii="Arial" w:hAnsi="Arial" w:cs="Arial"/>
          <w:bCs/>
          <w:sz w:val="22"/>
          <w:szCs w:val="22"/>
        </w:rPr>
        <w:t xml:space="preserve"> million reported in May. The Detroit casinos reported total</w:t>
      </w:r>
      <w:r w:rsidR="001D28C4">
        <w:rPr>
          <w:rFonts w:ascii="Arial" w:hAnsi="Arial" w:cs="Arial"/>
          <w:bCs/>
          <w:sz w:val="22"/>
          <w:szCs w:val="22"/>
        </w:rPr>
        <w:t xml:space="preserve"> retail sports betting</w:t>
      </w:r>
      <w:r w:rsidRPr="007A223F">
        <w:rPr>
          <w:rFonts w:ascii="Arial" w:hAnsi="Arial" w:cs="Arial"/>
          <w:bCs/>
          <w:sz w:val="22"/>
          <w:szCs w:val="22"/>
        </w:rPr>
        <w:t xml:space="preserve"> handle of $22,378,536</w:t>
      </w:r>
      <w:r>
        <w:rPr>
          <w:rFonts w:ascii="Arial" w:hAnsi="Arial" w:cs="Arial"/>
          <w:bCs/>
          <w:sz w:val="22"/>
          <w:szCs w:val="22"/>
        </w:rPr>
        <w:t>,</w:t>
      </w:r>
      <w:r w:rsidRPr="007A223F">
        <w:rPr>
          <w:rFonts w:ascii="Arial" w:hAnsi="Arial" w:cs="Arial"/>
          <w:bCs/>
          <w:sz w:val="22"/>
          <w:szCs w:val="22"/>
        </w:rPr>
        <w:t xml:space="preserve"> and total gross receipts were $462,215.  </w:t>
      </w:r>
    </w:p>
    <w:p w14:paraId="44EFF169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</w:p>
    <w:p w14:paraId="440D295A" w14:textId="569DA45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 xml:space="preserve">June QAGR totals by </w:t>
      </w:r>
      <w:r w:rsidR="001D28C4">
        <w:rPr>
          <w:rFonts w:ascii="Arial" w:hAnsi="Arial" w:cs="Arial"/>
          <w:bCs/>
          <w:sz w:val="22"/>
          <w:szCs w:val="22"/>
        </w:rPr>
        <w:t xml:space="preserve">casino </w:t>
      </w:r>
      <w:r w:rsidRPr="007A223F">
        <w:rPr>
          <w:rFonts w:ascii="Arial" w:hAnsi="Arial" w:cs="Arial"/>
          <w:bCs/>
          <w:sz w:val="22"/>
          <w:szCs w:val="22"/>
        </w:rPr>
        <w:t>were:</w:t>
      </w:r>
    </w:p>
    <w:p w14:paraId="47F8443A" w14:textId="77777777" w:rsidR="007A223F" w:rsidRPr="007A223F" w:rsidRDefault="007A223F" w:rsidP="007A223F">
      <w:pPr>
        <w:pStyle w:val="ListParagraph"/>
        <w:numPr>
          <w:ilvl w:val="0"/>
          <w:numId w:val="14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MGM, -$22,251</w:t>
      </w:r>
    </w:p>
    <w:p w14:paraId="1A5E3971" w14:textId="77777777" w:rsidR="007A223F" w:rsidRPr="007A223F" w:rsidRDefault="007A223F" w:rsidP="007A223F">
      <w:pPr>
        <w:pStyle w:val="ListParagraph"/>
        <w:numPr>
          <w:ilvl w:val="0"/>
          <w:numId w:val="14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MotorCity, $165,931</w:t>
      </w:r>
    </w:p>
    <w:p w14:paraId="5857FFFC" w14:textId="379FC183" w:rsidR="007A223F" w:rsidRPr="007A223F" w:rsidRDefault="007A223F" w:rsidP="007A223F">
      <w:pPr>
        <w:pStyle w:val="ListParagraph"/>
        <w:numPr>
          <w:ilvl w:val="0"/>
          <w:numId w:val="14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 xml:space="preserve">Hollywood Casino at Greektown, $305,023.  </w:t>
      </w:r>
    </w:p>
    <w:p w14:paraId="43043A8B" w14:textId="5B1CC6F5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>The state received $17,802 in</w:t>
      </w:r>
      <w:r>
        <w:rPr>
          <w:rFonts w:ascii="Arial" w:hAnsi="Arial" w:cs="Arial"/>
          <w:bCs/>
          <w:sz w:val="22"/>
          <w:szCs w:val="22"/>
        </w:rPr>
        <w:t xml:space="preserve"> retail sports betting</w:t>
      </w:r>
      <w:r w:rsidRPr="007A223F">
        <w:rPr>
          <w:rFonts w:ascii="Arial" w:hAnsi="Arial" w:cs="Arial"/>
          <w:bCs/>
          <w:sz w:val="22"/>
          <w:szCs w:val="22"/>
        </w:rPr>
        <w:t xml:space="preserve"> taxes from the three Detroit casinos. The three Detroit casinos also reported submitting $21,758 in retail sports betting taxes to the City of Detroit.  </w:t>
      </w:r>
    </w:p>
    <w:p w14:paraId="1446B1BA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</w:p>
    <w:p w14:paraId="771CEE21" w14:textId="1EF375F4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 xml:space="preserve">Year-to-date retail sports betting QAGR through June by </w:t>
      </w:r>
      <w:r w:rsidR="001D28C4">
        <w:rPr>
          <w:rFonts w:ascii="Arial" w:hAnsi="Arial" w:cs="Arial"/>
          <w:bCs/>
          <w:sz w:val="22"/>
          <w:szCs w:val="22"/>
        </w:rPr>
        <w:t>casino</w:t>
      </w:r>
      <w:r w:rsidRPr="007A223F">
        <w:rPr>
          <w:rFonts w:ascii="Arial" w:hAnsi="Arial" w:cs="Arial"/>
          <w:bCs/>
          <w:sz w:val="22"/>
          <w:szCs w:val="22"/>
        </w:rPr>
        <w:t xml:space="preserve"> was:</w:t>
      </w:r>
    </w:p>
    <w:p w14:paraId="2BE865B8" w14:textId="77777777" w:rsidR="007A223F" w:rsidRPr="007A223F" w:rsidRDefault="007A223F" w:rsidP="007A223F">
      <w:pPr>
        <w:pStyle w:val="ListParagraph"/>
        <w:numPr>
          <w:ilvl w:val="0"/>
          <w:numId w:val="13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MGM, $1.5 million</w:t>
      </w:r>
    </w:p>
    <w:p w14:paraId="0D9315E5" w14:textId="77777777" w:rsidR="007A223F" w:rsidRPr="007A223F" w:rsidRDefault="007A223F" w:rsidP="007A223F">
      <w:pPr>
        <w:pStyle w:val="ListParagraph"/>
        <w:numPr>
          <w:ilvl w:val="0"/>
          <w:numId w:val="13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MotorCity, $2.1 million</w:t>
      </w:r>
    </w:p>
    <w:p w14:paraId="5EBBA1B2" w14:textId="77777777" w:rsidR="007A223F" w:rsidRPr="007A223F" w:rsidRDefault="007A223F" w:rsidP="007A223F">
      <w:pPr>
        <w:pStyle w:val="ListParagraph"/>
        <w:numPr>
          <w:ilvl w:val="0"/>
          <w:numId w:val="13"/>
        </w:numPr>
        <w:rPr>
          <w:rFonts w:cs="Arial"/>
          <w:bCs/>
          <w:szCs w:val="22"/>
        </w:rPr>
      </w:pPr>
      <w:r w:rsidRPr="007A223F">
        <w:rPr>
          <w:rFonts w:cs="Arial"/>
          <w:bCs/>
          <w:szCs w:val="22"/>
        </w:rPr>
        <w:t>Hollywood Casino at Greektown, $4.1 million</w:t>
      </w:r>
    </w:p>
    <w:p w14:paraId="5F3709A5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</w:p>
    <w:p w14:paraId="5D79F2EE" w14:textId="77777777" w:rsidR="007A223F" w:rsidRPr="007A223F" w:rsidRDefault="007A223F" w:rsidP="007A223F">
      <w:pPr>
        <w:rPr>
          <w:rFonts w:ascii="Arial" w:hAnsi="Arial" w:cs="Arial"/>
          <w:b/>
          <w:sz w:val="22"/>
          <w:szCs w:val="22"/>
        </w:rPr>
      </w:pPr>
      <w:r w:rsidRPr="007A223F">
        <w:rPr>
          <w:rFonts w:ascii="Arial" w:hAnsi="Arial" w:cs="Arial"/>
          <w:b/>
          <w:sz w:val="22"/>
          <w:szCs w:val="22"/>
        </w:rPr>
        <w:t>Fantasy Contests</w:t>
      </w:r>
    </w:p>
    <w:p w14:paraId="2A697532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>Fantasy contest operators reported total adjusted revenues of $1.3 million during May and paid taxes of $112,964.</w:t>
      </w:r>
    </w:p>
    <w:p w14:paraId="2AC1C5C0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</w:p>
    <w:p w14:paraId="66CC0E45" w14:textId="77777777" w:rsidR="007A223F" w:rsidRPr="007A223F" w:rsidRDefault="007A223F" w:rsidP="007A223F">
      <w:pPr>
        <w:rPr>
          <w:rFonts w:ascii="Arial" w:hAnsi="Arial" w:cs="Arial"/>
          <w:bCs/>
          <w:sz w:val="22"/>
          <w:szCs w:val="22"/>
        </w:rPr>
      </w:pPr>
      <w:r w:rsidRPr="007A223F">
        <w:rPr>
          <w:rFonts w:ascii="Arial" w:hAnsi="Arial" w:cs="Arial"/>
          <w:bCs/>
          <w:sz w:val="22"/>
          <w:szCs w:val="22"/>
        </w:rPr>
        <w:t>Through May 31, fantasy contest operators reported $6.4 million in adjusted revenues and paid $538,629 in taxes.</w:t>
      </w:r>
    </w:p>
    <w:p w14:paraId="65A5C2BF" w14:textId="77777777" w:rsidR="0095501B" w:rsidRPr="00345C74" w:rsidRDefault="0095501B" w:rsidP="00B6561B">
      <w:pPr>
        <w:rPr>
          <w:rFonts w:ascii="Verdana" w:hAnsi="Verdana"/>
          <w:b/>
          <w:sz w:val="20"/>
          <w:szCs w:val="20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CB2"/>
    <w:multiLevelType w:val="hybridMultilevel"/>
    <w:tmpl w:val="1766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0ECF3CEB"/>
    <w:multiLevelType w:val="hybridMultilevel"/>
    <w:tmpl w:val="DE9A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7C1F5A"/>
    <w:multiLevelType w:val="hybridMultilevel"/>
    <w:tmpl w:val="878E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076B9"/>
    <w:multiLevelType w:val="hybridMultilevel"/>
    <w:tmpl w:val="75F2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7A70"/>
    <w:multiLevelType w:val="hybridMultilevel"/>
    <w:tmpl w:val="1AF6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445565">
    <w:abstractNumId w:val="4"/>
  </w:num>
  <w:num w:numId="2" w16cid:durableId="133375798">
    <w:abstractNumId w:val="5"/>
  </w:num>
  <w:num w:numId="3" w16cid:durableId="760371348">
    <w:abstractNumId w:val="2"/>
  </w:num>
  <w:num w:numId="4" w16cid:durableId="1046224228">
    <w:abstractNumId w:val="12"/>
  </w:num>
  <w:num w:numId="5" w16cid:durableId="561914540">
    <w:abstractNumId w:val="7"/>
  </w:num>
  <w:num w:numId="6" w16cid:durableId="905649189">
    <w:abstractNumId w:val="9"/>
  </w:num>
  <w:num w:numId="7" w16cid:durableId="682127983">
    <w:abstractNumId w:val="13"/>
  </w:num>
  <w:num w:numId="8" w16cid:durableId="1745449835">
    <w:abstractNumId w:val="11"/>
  </w:num>
  <w:num w:numId="9" w16cid:durableId="87431560">
    <w:abstractNumId w:val="0"/>
  </w:num>
  <w:num w:numId="10" w16cid:durableId="481624460">
    <w:abstractNumId w:val="6"/>
  </w:num>
  <w:num w:numId="11" w16cid:durableId="1112817758">
    <w:abstractNumId w:val="15"/>
  </w:num>
  <w:num w:numId="12" w16cid:durableId="1863518507">
    <w:abstractNumId w:val="16"/>
  </w:num>
  <w:num w:numId="13" w16cid:durableId="1760516884">
    <w:abstractNumId w:val="8"/>
  </w:num>
  <w:num w:numId="14" w16cid:durableId="301884549">
    <w:abstractNumId w:val="3"/>
  </w:num>
  <w:num w:numId="15" w16cid:durableId="1121222341">
    <w:abstractNumId w:val="10"/>
  </w:num>
  <w:num w:numId="16" w16cid:durableId="1956329016">
    <w:abstractNumId w:val="14"/>
  </w:num>
  <w:num w:numId="17" w16cid:durableId="107138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D3A5C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28C4"/>
    <w:rsid w:val="001D38BE"/>
    <w:rsid w:val="001F1F73"/>
    <w:rsid w:val="001F64FA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4F00A0"/>
    <w:rsid w:val="0051102D"/>
    <w:rsid w:val="0051294F"/>
    <w:rsid w:val="00513DB0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A223F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1ADB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5501B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AF3794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36C74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77C83"/>
    <w:rsid w:val="00D77F6B"/>
    <w:rsid w:val="00D820E8"/>
    <w:rsid w:val="00D8529A"/>
    <w:rsid w:val="00D912EF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1616"/>
    <w:rsid w:val="00EC47D5"/>
    <w:rsid w:val="00ED5584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character" w:styleId="CommentReference">
    <w:name w:val="annotation reference"/>
    <w:basedOn w:val="DefaultParagraphFont"/>
    <w:rsid w:val="000D3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A5C"/>
  </w:style>
  <w:style w:type="paragraph" w:styleId="CommentSubject">
    <w:name w:val="annotation subject"/>
    <w:basedOn w:val="CommentText"/>
    <w:next w:val="CommentText"/>
    <w:link w:val="CommentSubjectChar"/>
    <w:rsid w:val="000D3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A5C"/>
    <w:rPr>
      <w:b/>
      <w:bCs/>
    </w:rPr>
  </w:style>
  <w:style w:type="paragraph" w:styleId="Revision">
    <w:name w:val="Revision"/>
    <w:hidden/>
    <w:uiPriority w:val="99"/>
    <w:semiHidden/>
    <w:rsid w:val="00851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2022-07-14T15:03:00Z</dcterms:created>
  <dcterms:modified xsi:type="dcterms:W3CDTF">2022-07-14T15:03:00Z</dcterms:modified>
</cp:coreProperties>
</file>