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547"/>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3"/>
        <w:gridCol w:w="7126"/>
      </w:tblGrid>
      <w:tr w:rsidR="00716ED8" w14:paraId="3B3D72A9" w14:textId="77777777" w:rsidTr="00D77C83">
        <w:trPr>
          <w:trHeight w:val="1812"/>
        </w:trPr>
        <w:tc>
          <w:tcPr>
            <w:tcW w:w="2073" w:type="dxa"/>
          </w:tcPr>
          <w:p w14:paraId="62622B89" w14:textId="071C91DB" w:rsidR="00716ED8" w:rsidRDefault="004F00A0" w:rsidP="00B25585">
            <w:pPr>
              <w:jc w:val="center"/>
              <w:rPr>
                <w:rStyle w:val="Hyperlink"/>
              </w:rPr>
            </w:pPr>
            <w:r>
              <w:rPr>
                <w:noProof/>
              </w:rPr>
              <w:drawing>
                <wp:inline distT="0" distB="0" distL="0" distR="0" wp14:anchorId="36142F11" wp14:editId="7327DE7F">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tc>
        <w:tc>
          <w:tcPr>
            <w:tcW w:w="7126" w:type="dxa"/>
            <w:vAlign w:val="center"/>
          </w:tcPr>
          <w:p w14:paraId="6B2D12F7" w14:textId="77777777" w:rsidR="00716ED8" w:rsidRPr="0056091F" w:rsidRDefault="00716ED8">
            <w:pPr>
              <w:pStyle w:val="Heading2"/>
              <w:framePr w:hSpace="0" w:wrap="auto" w:vAnchor="margin" w:hAnchor="text" w:yAlign="inline"/>
              <w:rPr>
                <w:rStyle w:val="Hyperlink"/>
                <w:rFonts w:ascii="Microsoft Sans Serif" w:hAnsi="Microsoft Sans Serif" w:cs="Microsoft Sans Serif"/>
                <w:sz w:val="52"/>
                <w:szCs w:val="52"/>
              </w:rPr>
            </w:pPr>
            <w:r w:rsidRPr="0056091F">
              <w:rPr>
                <w:rFonts w:ascii="Microsoft Sans Serif" w:hAnsi="Microsoft Sans Serif" w:cs="Microsoft Sans Serif"/>
                <w:sz w:val="52"/>
                <w:szCs w:val="52"/>
              </w:rPr>
              <w:t>PRESS RELEASE</w:t>
            </w:r>
          </w:p>
        </w:tc>
      </w:tr>
    </w:tbl>
    <w:p w14:paraId="3F648AA5" w14:textId="77777777" w:rsidR="00EC47D5" w:rsidRPr="0031474A" w:rsidRDefault="0031474A">
      <w:pPr>
        <w:jc w:val="center"/>
        <w:rPr>
          <w:rFonts w:ascii="Book Antiqua" w:hAnsi="Book Antiqua"/>
          <w:b/>
          <w:color w:val="FF0000"/>
          <w:sz w:val="56"/>
          <w:szCs w:val="56"/>
        </w:rPr>
      </w:pPr>
      <w:r w:rsidRPr="0031474A">
        <w:rPr>
          <w:rFonts w:ascii="Book Antiqua" w:hAnsi="Book Antiqua"/>
          <w:b/>
          <w:color w:val="FF0000"/>
          <w:sz w:val="56"/>
          <w:szCs w:val="56"/>
        </w:rPr>
        <w:t xml:space="preserve"> </w:t>
      </w:r>
    </w:p>
    <w:p w14:paraId="0F27C033" w14:textId="77777777" w:rsidR="00716ED8" w:rsidRPr="008E6C63" w:rsidRDefault="00716ED8">
      <w:pPr>
        <w:jc w:val="center"/>
        <w:rPr>
          <w:rFonts w:ascii="Book Antiqua" w:hAnsi="Book Antiqua"/>
          <w:b/>
          <w:sz w:val="52"/>
        </w:rPr>
      </w:pPr>
      <w:r w:rsidRPr="008E6C63">
        <w:rPr>
          <w:rFonts w:ascii="Book Antiqua" w:hAnsi="Book Antiqua"/>
          <w:b/>
          <w:sz w:val="52"/>
        </w:rPr>
        <w:t>Michigan Gaming Control Board</w:t>
      </w:r>
    </w:p>
    <w:p w14:paraId="0305195B" w14:textId="77777777" w:rsidR="00716ED8" w:rsidRPr="0051102D" w:rsidRDefault="00716ED8">
      <w:pPr>
        <w:rPr>
          <w:rFonts w:ascii="Verdana" w:hAnsi="Verdana"/>
          <w:sz w:val="16"/>
          <w:szCs w:val="16"/>
        </w:rPr>
      </w:pPr>
    </w:p>
    <w:tbl>
      <w:tblPr>
        <w:tblW w:w="5000" w:type="pct"/>
        <w:jc w:val="center"/>
        <w:shd w:val="clear" w:color="auto" w:fill="000099"/>
        <w:tblCellMar>
          <w:top w:w="60" w:type="dxa"/>
          <w:left w:w="60" w:type="dxa"/>
          <w:bottom w:w="60" w:type="dxa"/>
          <w:right w:w="60" w:type="dxa"/>
        </w:tblCellMar>
        <w:tblLook w:val="0000" w:firstRow="0" w:lastRow="0" w:firstColumn="0" w:lastColumn="0" w:noHBand="0" w:noVBand="0"/>
      </w:tblPr>
      <w:tblGrid>
        <w:gridCol w:w="4600"/>
        <w:gridCol w:w="4400"/>
      </w:tblGrid>
      <w:tr w:rsidR="00716ED8" w14:paraId="4E039AAE" w14:textId="77777777" w:rsidTr="00ED5584">
        <w:trPr>
          <w:jc w:val="center"/>
        </w:trPr>
        <w:tc>
          <w:tcPr>
            <w:tcW w:w="0" w:type="auto"/>
            <w:shd w:val="clear" w:color="auto" w:fill="000099"/>
            <w:vAlign w:val="center"/>
          </w:tcPr>
          <w:p w14:paraId="75AA6DB4" w14:textId="1A6A98E8" w:rsidR="00716ED8" w:rsidRPr="0056091F" w:rsidRDefault="00716ED8" w:rsidP="00804693">
            <w:pPr>
              <w:rPr>
                <w:sz w:val="22"/>
                <w:szCs w:val="22"/>
              </w:rPr>
            </w:pPr>
            <w:r w:rsidRPr="0056091F">
              <w:rPr>
                <w:rStyle w:val="Strong"/>
                <w:rFonts w:ascii="Arial" w:hAnsi="Arial" w:cs="Arial"/>
                <w:sz w:val="22"/>
                <w:szCs w:val="22"/>
              </w:rPr>
              <w:t>FOR IMMEDIATE RELEASE:</w:t>
            </w:r>
            <w:r w:rsidRPr="0056091F">
              <w:rPr>
                <w:rStyle w:val="Strong"/>
                <w:sz w:val="22"/>
                <w:szCs w:val="22"/>
              </w:rPr>
              <w:t xml:space="preserve"> </w:t>
            </w:r>
            <w:r w:rsidRPr="0056091F">
              <w:rPr>
                <w:rFonts w:ascii="Arial" w:hAnsi="Arial" w:cs="Arial"/>
                <w:b/>
                <w:bCs/>
                <w:sz w:val="22"/>
                <w:szCs w:val="22"/>
              </w:rPr>
              <w:br/>
            </w:r>
            <w:r w:rsidR="007F2C80">
              <w:rPr>
                <w:rFonts w:ascii="Verdana" w:hAnsi="Verdana"/>
                <w:b/>
                <w:bCs/>
                <w:sz w:val="22"/>
                <w:szCs w:val="22"/>
              </w:rPr>
              <w:t>Ju</w:t>
            </w:r>
            <w:r w:rsidR="007B62E1">
              <w:rPr>
                <w:rFonts w:ascii="Verdana" w:hAnsi="Verdana"/>
                <w:b/>
                <w:bCs/>
                <w:sz w:val="22"/>
                <w:szCs w:val="22"/>
              </w:rPr>
              <w:t>ly</w:t>
            </w:r>
            <w:r w:rsidR="00BC0787">
              <w:rPr>
                <w:rFonts w:ascii="Verdana" w:hAnsi="Verdana"/>
                <w:b/>
                <w:bCs/>
                <w:sz w:val="22"/>
                <w:szCs w:val="22"/>
              </w:rPr>
              <w:t xml:space="preserve"> </w:t>
            </w:r>
            <w:r w:rsidR="007B62E1">
              <w:rPr>
                <w:rFonts w:ascii="Verdana" w:hAnsi="Verdana"/>
                <w:b/>
                <w:bCs/>
                <w:sz w:val="22"/>
                <w:szCs w:val="22"/>
              </w:rPr>
              <w:t>14</w:t>
            </w:r>
            <w:r w:rsidR="00BC0787">
              <w:rPr>
                <w:rFonts w:ascii="Verdana" w:hAnsi="Verdana"/>
                <w:b/>
                <w:bCs/>
                <w:sz w:val="22"/>
                <w:szCs w:val="22"/>
              </w:rPr>
              <w:t>,</w:t>
            </w:r>
            <w:r w:rsidR="00B6561B">
              <w:rPr>
                <w:rFonts w:ascii="Verdana" w:hAnsi="Verdana"/>
                <w:b/>
                <w:bCs/>
                <w:sz w:val="22"/>
                <w:szCs w:val="22"/>
              </w:rPr>
              <w:t xml:space="preserve"> 20</w:t>
            </w:r>
            <w:r w:rsidR="00432433">
              <w:rPr>
                <w:rFonts w:ascii="Verdana" w:hAnsi="Verdana"/>
                <w:b/>
                <w:bCs/>
                <w:sz w:val="22"/>
                <w:szCs w:val="22"/>
              </w:rPr>
              <w:t>2</w:t>
            </w:r>
            <w:r w:rsidR="00E21582">
              <w:rPr>
                <w:rFonts w:ascii="Verdana" w:hAnsi="Verdana"/>
                <w:b/>
                <w:bCs/>
                <w:sz w:val="22"/>
                <w:szCs w:val="22"/>
              </w:rPr>
              <w:t>2</w:t>
            </w:r>
          </w:p>
        </w:tc>
        <w:tc>
          <w:tcPr>
            <w:tcW w:w="0" w:type="auto"/>
            <w:shd w:val="clear" w:color="auto" w:fill="000099"/>
            <w:vAlign w:val="center"/>
          </w:tcPr>
          <w:p w14:paraId="263F94B2" w14:textId="77777777" w:rsidR="005D467C" w:rsidRDefault="00716ED8" w:rsidP="005D467C">
            <w:pPr>
              <w:pStyle w:val="NormalWeb"/>
              <w:spacing w:before="0" w:beforeAutospacing="0" w:after="0" w:afterAutospacing="0"/>
              <w:jc w:val="right"/>
              <w:rPr>
                <w:rFonts w:ascii="Verdana" w:hAnsi="Verdana"/>
                <w:sz w:val="22"/>
                <w:szCs w:val="22"/>
              </w:rPr>
            </w:pPr>
            <w:r w:rsidRPr="0056091F">
              <w:rPr>
                <w:rStyle w:val="Strong"/>
                <w:rFonts w:ascii="Arial" w:hAnsi="Arial" w:cs="Arial"/>
                <w:sz w:val="22"/>
                <w:szCs w:val="22"/>
              </w:rPr>
              <w:t>Contact:</w:t>
            </w:r>
            <w:r w:rsidRPr="0056091F">
              <w:rPr>
                <w:rFonts w:ascii="Arial" w:hAnsi="Arial" w:cs="Arial"/>
                <w:b/>
                <w:bCs/>
                <w:sz w:val="22"/>
                <w:szCs w:val="22"/>
              </w:rPr>
              <w:br/>
            </w:r>
            <w:r w:rsidR="00D0524A">
              <w:rPr>
                <w:rFonts w:ascii="Verdana" w:hAnsi="Verdana"/>
                <w:sz w:val="22"/>
                <w:szCs w:val="22"/>
              </w:rPr>
              <w:t>Mary Kay Bean</w:t>
            </w:r>
            <w:r w:rsidR="005D467C">
              <w:rPr>
                <w:rFonts w:ascii="Verdana" w:hAnsi="Verdana"/>
                <w:sz w:val="22"/>
                <w:szCs w:val="22"/>
              </w:rPr>
              <w:t xml:space="preserve"> </w:t>
            </w:r>
          </w:p>
          <w:p w14:paraId="70383645" w14:textId="483979D0" w:rsidR="00716ED8" w:rsidRPr="0056091F" w:rsidRDefault="00E228C6" w:rsidP="005D467C">
            <w:pPr>
              <w:pStyle w:val="NormalWeb"/>
              <w:spacing w:before="0" w:beforeAutospacing="0" w:after="0" w:afterAutospacing="0"/>
              <w:jc w:val="right"/>
              <w:rPr>
                <w:sz w:val="22"/>
                <w:szCs w:val="22"/>
              </w:rPr>
            </w:pPr>
            <w:r>
              <w:rPr>
                <w:rFonts w:ascii="Verdana" w:hAnsi="Verdana"/>
                <w:sz w:val="22"/>
                <w:szCs w:val="22"/>
              </w:rPr>
              <w:t>Beanm1@michigan.gov</w:t>
            </w:r>
          </w:p>
          <w:p w14:paraId="3786EB74" w14:textId="77777777" w:rsidR="00716ED8" w:rsidRPr="00BC75DD" w:rsidRDefault="00BC75DD">
            <w:pPr>
              <w:pStyle w:val="NormalWeb"/>
              <w:spacing w:before="0" w:beforeAutospacing="0" w:after="0" w:afterAutospacing="0"/>
              <w:jc w:val="right"/>
              <w:rPr>
                <w:rFonts w:ascii="Verdana" w:hAnsi="Verdana"/>
                <w:sz w:val="22"/>
                <w:szCs w:val="22"/>
              </w:rPr>
            </w:pPr>
            <w:r>
              <w:rPr>
                <w:rFonts w:ascii="Verdana" w:hAnsi="Verdana"/>
                <w:sz w:val="22"/>
                <w:szCs w:val="22"/>
              </w:rPr>
              <w:t>www.michigan.gov/mgcb</w:t>
            </w:r>
          </w:p>
        </w:tc>
      </w:tr>
    </w:tbl>
    <w:p w14:paraId="7B51E15F" w14:textId="77777777" w:rsidR="00716ED8" w:rsidRPr="00F442A5" w:rsidRDefault="00716ED8">
      <w:pPr>
        <w:pStyle w:val="NormalWeb"/>
        <w:spacing w:before="0" w:beforeAutospacing="0" w:after="0" w:afterAutospacing="0"/>
        <w:rPr>
          <w:rFonts w:ascii="Book Antiqua" w:hAnsi="Book Antiqua"/>
          <w:sz w:val="16"/>
          <w:szCs w:val="16"/>
        </w:rPr>
      </w:pPr>
    </w:p>
    <w:p w14:paraId="0F3FE364" w14:textId="77777777" w:rsidR="00716ED8" w:rsidRPr="00345C74" w:rsidRDefault="00716ED8">
      <w:pPr>
        <w:pStyle w:val="Heading4"/>
        <w:jc w:val="left"/>
        <w:rPr>
          <w:b w:val="0"/>
          <w:bCs w:val="0"/>
          <w:sz w:val="20"/>
          <w:szCs w:val="20"/>
        </w:rPr>
      </w:pPr>
      <w:r w:rsidRPr="00345C74">
        <w:rPr>
          <w:sz w:val="20"/>
          <w:szCs w:val="20"/>
        </w:rPr>
        <w:t xml:space="preserve">Location: </w:t>
      </w:r>
      <w:r w:rsidRPr="00345C74">
        <w:rPr>
          <w:b w:val="0"/>
          <w:bCs w:val="0"/>
          <w:sz w:val="20"/>
          <w:szCs w:val="20"/>
        </w:rPr>
        <w:t>Cadillac Place, 3062 W. Grand Blvd., L-700 – Detroit</w:t>
      </w:r>
    </w:p>
    <w:p w14:paraId="210319C5" w14:textId="58394AC8" w:rsidR="00716ED8" w:rsidRPr="00345C74" w:rsidRDefault="00716ED8">
      <w:pPr>
        <w:pStyle w:val="NormalWeb"/>
        <w:spacing w:before="0" w:beforeAutospacing="0" w:after="0" w:afterAutospacing="0"/>
        <w:rPr>
          <w:rFonts w:ascii="Book Antiqua" w:hAnsi="Book Antiqua"/>
          <w:sz w:val="20"/>
          <w:szCs w:val="20"/>
        </w:rPr>
      </w:pPr>
      <w:r w:rsidRPr="00345C74">
        <w:rPr>
          <w:rFonts w:ascii="Verdana" w:hAnsi="Verdana"/>
          <w:b/>
          <w:bCs/>
          <w:sz w:val="20"/>
          <w:szCs w:val="20"/>
        </w:rPr>
        <w:t>Time:</w:t>
      </w:r>
      <w:r w:rsidRPr="00345C74">
        <w:rPr>
          <w:rFonts w:ascii="Verdana" w:hAnsi="Verdana"/>
          <w:sz w:val="20"/>
          <w:szCs w:val="20"/>
        </w:rPr>
        <w:t xml:space="preserve"> </w:t>
      </w:r>
      <w:r w:rsidR="004450AE">
        <w:rPr>
          <w:rFonts w:ascii="Verdana" w:hAnsi="Verdana"/>
          <w:sz w:val="20"/>
          <w:szCs w:val="20"/>
        </w:rPr>
        <w:t>10</w:t>
      </w:r>
      <w:r w:rsidR="00B6561B" w:rsidRPr="00345C74">
        <w:rPr>
          <w:rFonts w:ascii="Verdana" w:hAnsi="Verdana"/>
          <w:sz w:val="20"/>
          <w:szCs w:val="20"/>
        </w:rPr>
        <w:t>:00</w:t>
      </w:r>
      <w:r w:rsidR="00BB4CA4" w:rsidRPr="00345C74">
        <w:rPr>
          <w:rFonts w:ascii="Verdana" w:hAnsi="Verdana"/>
          <w:sz w:val="20"/>
          <w:szCs w:val="20"/>
        </w:rPr>
        <w:t xml:space="preserve"> </w:t>
      </w:r>
      <w:r w:rsidR="004450AE">
        <w:rPr>
          <w:rFonts w:ascii="Verdana" w:hAnsi="Verdana"/>
          <w:sz w:val="20"/>
          <w:szCs w:val="20"/>
        </w:rPr>
        <w:t>a</w:t>
      </w:r>
      <w:r w:rsidR="00035E72" w:rsidRPr="00345C74">
        <w:rPr>
          <w:rFonts w:ascii="Verdana" w:hAnsi="Verdana"/>
          <w:sz w:val="20"/>
          <w:szCs w:val="20"/>
        </w:rPr>
        <w:t>.</w:t>
      </w:r>
      <w:r w:rsidR="00BB4CA4" w:rsidRPr="00345C74">
        <w:rPr>
          <w:rFonts w:ascii="Verdana" w:hAnsi="Verdana"/>
          <w:sz w:val="20"/>
          <w:szCs w:val="20"/>
        </w:rPr>
        <w:t>m.</w:t>
      </w:r>
      <w:r w:rsidRPr="00345C74">
        <w:rPr>
          <w:rFonts w:ascii="Verdana" w:hAnsi="Verdana"/>
          <w:sz w:val="20"/>
          <w:szCs w:val="20"/>
        </w:rPr>
        <w:t xml:space="preserve"> </w:t>
      </w:r>
    </w:p>
    <w:p w14:paraId="0F005504" w14:textId="77777777" w:rsidR="00966852" w:rsidRPr="00F442A5" w:rsidRDefault="00966852" w:rsidP="002E73D0">
      <w:pPr>
        <w:ind w:left="360"/>
        <w:jc w:val="both"/>
        <w:rPr>
          <w:rFonts w:ascii="Arial" w:eastAsia="Calibri" w:hAnsi="Arial" w:cs="Arial"/>
          <w:b/>
          <w:bCs/>
          <w:sz w:val="16"/>
          <w:szCs w:val="16"/>
        </w:rPr>
      </w:pPr>
    </w:p>
    <w:p w14:paraId="1ACA21A5" w14:textId="77777777" w:rsidR="00B6561B" w:rsidRPr="00345C74" w:rsidRDefault="00B6561B" w:rsidP="00B6561B">
      <w:pPr>
        <w:rPr>
          <w:rFonts w:ascii="Verdana" w:hAnsi="Verdana"/>
          <w:b/>
          <w:sz w:val="20"/>
          <w:szCs w:val="20"/>
        </w:rPr>
      </w:pPr>
      <w:r w:rsidRPr="00345C74">
        <w:rPr>
          <w:rFonts w:ascii="Verdana" w:hAnsi="Verdana"/>
          <w:b/>
          <w:sz w:val="20"/>
          <w:szCs w:val="20"/>
        </w:rPr>
        <w:t>For Immediate Release:</w:t>
      </w:r>
    </w:p>
    <w:p w14:paraId="2CE2A965" w14:textId="77777777" w:rsidR="007B62E1" w:rsidRDefault="007B62E1" w:rsidP="007B62E1">
      <w:pPr>
        <w:rPr>
          <w:rFonts w:ascii="Arial" w:hAnsi="Arial" w:cs="Arial"/>
          <w:b/>
          <w:bCs/>
          <w:sz w:val="40"/>
          <w:szCs w:val="40"/>
        </w:rPr>
      </w:pPr>
    </w:p>
    <w:p w14:paraId="3D75D72F" w14:textId="6A572992" w:rsidR="007B62E1" w:rsidRPr="00BB4E74" w:rsidRDefault="007B62E1" w:rsidP="007B62E1">
      <w:pPr>
        <w:rPr>
          <w:rFonts w:ascii="Arial" w:hAnsi="Arial" w:cs="Arial"/>
          <w:b/>
          <w:bCs/>
          <w:sz w:val="40"/>
          <w:szCs w:val="40"/>
        </w:rPr>
      </w:pPr>
      <w:r w:rsidRPr="00BB4E74">
        <w:rPr>
          <w:rFonts w:ascii="Arial" w:hAnsi="Arial" w:cs="Arial"/>
          <w:b/>
          <w:bCs/>
          <w:sz w:val="40"/>
          <w:szCs w:val="40"/>
        </w:rPr>
        <w:t xml:space="preserve">Michigan Gaming Control Board collects $2.5 billion in taxes to support K-12 schools since </w:t>
      </w:r>
      <w:r>
        <w:rPr>
          <w:rFonts w:ascii="Arial" w:hAnsi="Arial" w:cs="Arial"/>
          <w:b/>
          <w:bCs/>
          <w:sz w:val="40"/>
          <w:szCs w:val="40"/>
        </w:rPr>
        <w:t>authorizing act signed</w:t>
      </w:r>
      <w:r w:rsidRPr="00BB4E74">
        <w:rPr>
          <w:rFonts w:ascii="Arial" w:hAnsi="Arial" w:cs="Arial"/>
          <w:b/>
          <w:bCs/>
          <w:sz w:val="40"/>
          <w:szCs w:val="40"/>
        </w:rPr>
        <w:t xml:space="preserve"> in 1997</w:t>
      </w:r>
    </w:p>
    <w:p w14:paraId="6CCCECCE" w14:textId="77777777" w:rsidR="007B62E1" w:rsidRPr="006C6DD7" w:rsidRDefault="007B62E1" w:rsidP="007B62E1">
      <w:pPr>
        <w:rPr>
          <w:b/>
          <w:bCs/>
        </w:rPr>
      </w:pPr>
    </w:p>
    <w:p w14:paraId="469AB9A6" w14:textId="77777777" w:rsidR="007B62E1" w:rsidRDefault="007B62E1" w:rsidP="007B62E1">
      <w:pPr>
        <w:rPr>
          <w:rFonts w:ascii="Arial" w:hAnsi="Arial" w:cs="Arial"/>
        </w:rPr>
      </w:pPr>
      <w:r w:rsidRPr="00C07B3F">
        <w:rPr>
          <w:rFonts w:ascii="Arial" w:hAnsi="Arial" w:cs="Arial"/>
          <w:b/>
          <w:bCs/>
        </w:rPr>
        <w:t>Detroit, July 14, 2022</w:t>
      </w:r>
      <w:r w:rsidRPr="00C07B3F">
        <w:rPr>
          <w:rFonts w:ascii="Arial" w:hAnsi="Arial" w:cs="Arial"/>
        </w:rPr>
        <w:t xml:space="preserve"> – The Michigan Gaming Control Board has collected a lot of silver —</w:t>
      </w:r>
      <w:r>
        <w:rPr>
          <w:rFonts w:ascii="Arial" w:hAnsi="Arial" w:cs="Arial"/>
        </w:rPr>
        <w:t xml:space="preserve"> </w:t>
      </w:r>
      <w:r w:rsidRPr="00C07B3F">
        <w:rPr>
          <w:rFonts w:ascii="Arial" w:hAnsi="Arial" w:cs="Arial"/>
        </w:rPr>
        <w:t>$2.5 billion</w:t>
      </w:r>
      <w:r>
        <w:rPr>
          <w:rFonts w:ascii="Arial" w:hAnsi="Arial" w:cs="Arial"/>
        </w:rPr>
        <w:t xml:space="preserve"> worth</w:t>
      </w:r>
      <w:r w:rsidRPr="00C07B3F">
        <w:rPr>
          <w:rFonts w:ascii="Arial" w:hAnsi="Arial" w:cs="Arial"/>
        </w:rPr>
        <w:t xml:space="preserve"> — from the Detroit casinos and internet gaming</w:t>
      </w:r>
      <w:r>
        <w:rPr>
          <w:rFonts w:ascii="Arial" w:hAnsi="Arial" w:cs="Arial"/>
        </w:rPr>
        <w:t xml:space="preserve">, internet </w:t>
      </w:r>
      <w:r w:rsidRPr="00C07B3F">
        <w:rPr>
          <w:rFonts w:ascii="Arial" w:hAnsi="Arial" w:cs="Arial"/>
        </w:rPr>
        <w:t>sports betting</w:t>
      </w:r>
      <w:r>
        <w:rPr>
          <w:rFonts w:ascii="Arial" w:hAnsi="Arial" w:cs="Arial"/>
        </w:rPr>
        <w:t>, and fantasy contest</w:t>
      </w:r>
      <w:r w:rsidRPr="00C07B3F">
        <w:rPr>
          <w:rFonts w:ascii="Arial" w:hAnsi="Arial" w:cs="Arial"/>
        </w:rPr>
        <w:t xml:space="preserve"> operators for Michigan’s School Aid Fund in the agency’s 25 years of existence. </w:t>
      </w:r>
    </w:p>
    <w:p w14:paraId="42173440" w14:textId="77777777" w:rsidR="007B62E1" w:rsidRDefault="007B62E1" w:rsidP="007B62E1">
      <w:pPr>
        <w:rPr>
          <w:rFonts w:ascii="Arial" w:hAnsi="Arial" w:cs="Arial"/>
        </w:rPr>
      </w:pPr>
    </w:p>
    <w:p w14:paraId="0CA586A9" w14:textId="0678A92B" w:rsidR="007B62E1" w:rsidRDefault="007B62E1" w:rsidP="007B62E1">
      <w:pPr>
        <w:rPr>
          <w:rFonts w:ascii="Arial" w:hAnsi="Arial" w:cs="Arial"/>
        </w:rPr>
      </w:pPr>
      <w:r w:rsidRPr="00C07B3F">
        <w:rPr>
          <w:rFonts w:ascii="Arial" w:hAnsi="Arial" w:cs="Arial"/>
        </w:rPr>
        <w:t>The tax</w:t>
      </w:r>
      <w:r>
        <w:rPr>
          <w:rFonts w:ascii="Arial" w:hAnsi="Arial" w:cs="Arial"/>
        </w:rPr>
        <w:t>es paid through 2021 are based on revenues and receipts from casino slots, casino table games and, more recently, retail sports betting, internet gaming, internet sports betting and fantasy contests.</w:t>
      </w:r>
    </w:p>
    <w:p w14:paraId="452BC38E" w14:textId="77777777" w:rsidR="007B62E1" w:rsidRDefault="007B62E1" w:rsidP="007B62E1">
      <w:pPr>
        <w:rPr>
          <w:rFonts w:ascii="Arial" w:hAnsi="Arial" w:cs="Arial"/>
        </w:rPr>
      </w:pPr>
    </w:p>
    <w:p w14:paraId="3AFA0756" w14:textId="6A6E8183" w:rsidR="007B62E1" w:rsidRDefault="007B62E1" w:rsidP="007B62E1">
      <w:pPr>
        <w:rPr>
          <w:rFonts w:ascii="Arial" w:hAnsi="Arial" w:cs="Arial"/>
        </w:rPr>
      </w:pPr>
      <w:r>
        <w:rPr>
          <w:rFonts w:ascii="Arial" w:hAnsi="Arial" w:cs="Arial"/>
        </w:rPr>
        <w:t xml:space="preserve">“Dollars invested in education are critical to the development of Michigan’s future workforce,” said Henry Williams, MGCB executive director. </w:t>
      </w:r>
      <w:bookmarkStart w:id="0" w:name="_Hlk108622007"/>
      <w:r>
        <w:rPr>
          <w:rFonts w:ascii="Arial" w:hAnsi="Arial" w:cs="Arial"/>
        </w:rPr>
        <w:t>“My MGCB colleagues and I are proud to play our role in helping Michigan schools by collecting</w:t>
      </w:r>
      <w:r w:rsidR="00830158">
        <w:rPr>
          <w:rFonts w:ascii="Arial" w:hAnsi="Arial" w:cs="Arial"/>
        </w:rPr>
        <w:t xml:space="preserve"> wagering</w:t>
      </w:r>
      <w:r>
        <w:rPr>
          <w:rFonts w:ascii="Arial" w:hAnsi="Arial" w:cs="Arial"/>
        </w:rPr>
        <w:t xml:space="preserve"> taxes on legal, regulated gaming.”</w:t>
      </w:r>
    </w:p>
    <w:bookmarkEnd w:id="0"/>
    <w:p w14:paraId="24F84589" w14:textId="77777777" w:rsidR="007B62E1" w:rsidRDefault="007B62E1" w:rsidP="007B62E1">
      <w:pPr>
        <w:rPr>
          <w:rFonts w:ascii="Arial" w:hAnsi="Arial" w:cs="Arial"/>
        </w:rPr>
      </w:pPr>
    </w:p>
    <w:p w14:paraId="639063B2" w14:textId="1D52DE07" w:rsidR="007B62E1" w:rsidRDefault="007B62E1" w:rsidP="007B62E1">
      <w:pPr>
        <w:rPr>
          <w:rFonts w:ascii="Arial" w:hAnsi="Arial" w:cs="Arial"/>
        </w:rPr>
      </w:pPr>
      <w:r w:rsidRPr="006C6DD7">
        <w:rPr>
          <w:rFonts w:ascii="Arial" w:hAnsi="Arial" w:cs="Arial"/>
        </w:rPr>
        <w:t xml:space="preserve">Wagering taxes on the Detroit casinos for gaming and </w:t>
      </w:r>
      <w:r>
        <w:rPr>
          <w:rFonts w:ascii="Arial" w:hAnsi="Arial" w:cs="Arial"/>
        </w:rPr>
        <w:t xml:space="preserve">retail </w:t>
      </w:r>
      <w:r w:rsidRPr="006C6DD7">
        <w:rPr>
          <w:rFonts w:ascii="Arial" w:hAnsi="Arial" w:cs="Arial"/>
        </w:rPr>
        <w:t>sports betting are collected and sent monthly to the School Aid Fund. For internet gaming</w:t>
      </w:r>
      <w:r>
        <w:rPr>
          <w:rFonts w:ascii="Arial" w:hAnsi="Arial" w:cs="Arial"/>
        </w:rPr>
        <w:t>,</w:t>
      </w:r>
      <w:r w:rsidRPr="006C6DD7">
        <w:rPr>
          <w:rFonts w:ascii="Arial" w:hAnsi="Arial" w:cs="Arial"/>
        </w:rPr>
        <w:t xml:space="preserve"> </w:t>
      </w:r>
      <w:r>
        <w:rPr>
          <w:rFonts w:ascii="Arial" w:hAnsi="Arial" w:cs="Arial"/>
        </w:rPr>
        <w:t xml:space="preserve">internet </w:t>
      </w:r>
      <w:r w:rsidRPr="006C6DD7">
        <w:rPr>
          <w:rFonts w:ascii="Arial" w:hAnsi="Arial" w:cs="Arial"/>
        </w:rPr>
        <w:t>sports betting,</w:t>
      </w:r>
      <w:r>
        <w:rPr>
          <w:rFonts w:ascii="Arial" w:hAnsi="Arial" w:cs="Arial"/>
        </w:rPr>
        <w:t xml:space="preserve"> and fantasy contests</w:t>
      </w:r>
      <w:r w:rsidR="00576948">
        <w:rPr>
          <w:rFonts w:ascii="Arial" w:hAnsi="Arial" w:cs="Arial"/>
        </w:rPr>
        <w:t>,</w:t>
      </w:r>
      <w:r w:rsidRPr="006C6DD7">
        <w:rPr>
          <w:rFonts w:ascii="Arial" w:hAnsi="Arial" w:cs="Arial"/>
        </w:rPr>
        <w:t xml:space="preserve"> taxes are transferred</w:t>
      </w:r>
      <w:r>
        <w:rPr>
          <w:rFonts w:ascii="Arial" w:hAnsi="Arial" w:cs="Arial"/>
        </w:rPr>
        <w:t xml:space="preserve"> to the School Aid Fund</w:t>
      </w:r>
      <w:r w:rsidRPr="006C6DD7">
        <w:rPr>
          <w:rFonts w:ascii="Arial" w:hAnsi="Arial" w:cs="Arial"/>
        </w:rPr>
        <w:t xml:space="preserve"> at the end of the fiscal year</w:t>
      </w:r>
      <w:r>
        <w:rPr>
          <w:rFonts w:ascii="Arial" w:hAnsi="Arial" w:cs="Arial"/>
        </w:rPr>
        <w:t>. This happens</w:t>
      </w:r>
      <w:r w:rsidRPr="006C6DD7">
        <w:rPr>
          <w:rFonts w:ascii="Arial" w:hAnsi="Arial" w:cs="Arial"/>
        </w:rPr>
        <w:t xml:space="preserve"> after other </w:t>
      </w:r>
      <w:hyperlink r:id="rId8" w:history="1">
        <w:r w:rsidRPr="0062502C">
          <w:rPr>
            <w:rStyle w:val="Hyperlink"/>
            <w:rFonts w:ascii="Arial" w:hAnsi="Arial" w:cs="Arial"/>
          </w:rPr>
          <w:t>required allocations</w:t>
        </w:r>
      </w:hyperlink>
      <w:r w:rsidRPr="006C6DD7">
        <w:rPr>
          <w:rFonts w:ascii="Arial" w:hAnsi="Arial" w:cs="Arial"/>
        </w:rPr>
        <w:t xml:space="preserve"> are made from the Internet Gaming</w:t>
      </w:r>
      <w:r>
        <w:rPr>
          <w:rFonts w:ascii="Arial" w:hAnsi="Arial" w:cs="Arial"/>
        </w:rPr>
        <w:t xml:space="preserve">, </w:t>
      </w:r>
      <w:r w:rsidRPr="006C6DD7">
        <w:rPr>
          <w:rFonts w:ascii="Arial" w:hAnsi="Arial" w:cs="Arial"/>
        </w:rPr>
        <w:t>Internet Sports Betting</w:t>
      </w:r>
      <w:r>
        <w:rPr>
          <w:rFonts w:ascii="Arial" w:hAnsi="Arial" w:cs="Arial"/>
        </w:rPr>
        <w:t xml:space="preserve">, and Fantasy Contest </w:t>
      </w:r>
      <w:r w:rsidRPr="006C6DD7">
        <w:rPr>
          <w:rFonts w:ascii="Arial" w:hAnsi="Arial" w:cs="Arial"/>
        </w:rPr>
        <w:t>funds. The</w:t>
      </w:r>
      <w:r>
        <w:rPr>
          <w:rFonts w:ascii="Arial" w:hAnsi="Arial" w:cs="Arial"/>
        </w:rPr>
        <w:t xml:space="preserve"> </w:t>
      </w:r>
      <w:r w:rsidRPr="006C6DD7">
        <w:rPr>
          <w:rFonts w:ascii="Arial" w:hAnsi="Arial" w:cs="Arial"/>
        </w:rPr>
        <w:t>respective laws authorizing the gaming</w:t>
      </w:r>
      <w:r>
        <w:rPr>
          <w:rFonts w:ascii="Arial" w:hAnsi="Arial" w:cs="Arial"/>
        </w:rPr>
        <w:t xml:space="preserve"> established the transfer schedules</w:t>
      </w:r>
      <w:r w:rsidRPr="006C6DD7">
        <w:rPr>
          <w:rFonts w:ascii="Arial" w:hAnsi="Arial" w:cs="Arial"/>
        </w:rPr>
        <w:t>.</w:t>
      </w:r>
    </w:p>
    <w:p w14:paraId="354D9615" w14:textId="77777777" w:rsidR="007B62E1" w:rsidRDefault="007B62E1" w:rsidP="007B62E1">
      <w:pPr>
        <w:rPr>
          <w:rFonts w:ascii="Arial" w:hAnsi="Arial" w:cs="Arial"/>
        </w:rPr>
      </w:pPr>
    </w:p>
    <w:p w14:paraId="7C83651D" w14:textId="77777777" w:rsidR="007B62E1" w:rsidRDefault="007B62E1" w:rsidP="007B62E1">
      <w:pPr>
        <w:rPr>
          <w:rFonts w:ascii="Arial" w:hAnsi="Arial" w:cs="Arial"/>
        </w:rPr>
      </w:pPr>
      <w:r>
        <w:rPr>
          <w:rFonts w:ascii="Arial" w:hAnsi="Arial" w:cs="Arial"/>
        </w:rPr>
        <w:t>Education tax funding by type of gaming includes:</w:t>
      </w:r>
    </w:p>
    <w:p w14:paraId="57CB004C" w14:textId="77777777" w:rsidR="007B62E1" w:rsidRDefault="007B62E1" w:rsidP="007B62E1"/>
    <w:tbl>
      <w:tblPr>
        <w:tblW w:w="6359" w:type="dxa"/>
        <w:tblInd w:w="108" w:type="dxa"/>
        <w:tblCellMar>
          <w:left w:w="0" w:type="dxa"/>
          <w:right w:w="0" w:type="dxa"/>
        </w:tblCellMar>
        <w:tblLook w:val="04A0" w:firstRow="1" w:lastRow="0" w:firstColumn="1" w:lastColumn="0" w:noHBand="0" w:noVBand="1"/>
      </w:tblPr>
      <w:tblGrid>
        <w:gridCol w:w="1682"/>
        <w:gridCol w:w="2430"/>
        <w:gridCol w:w="2247"/>
      </w:tblGrid>
      <w:tr w:rsidR="007B62E1" w:rsidRPr="00635CBC" w14:paraId="0C449CB6" w14:textId="77777777" w:rsidTr="007B62E1">
        <w:trPr>
          <w:trHeight w:val="288"/>
        </w:trPr>
        <w:tc>
          <w:tcPr>
            <w:tcW w:w="1682"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21D739B4" w14:textId="77777777" w:rsidR="007B62E1" w:rsidRPr="00635CBC" w:rsidRDefault="007B62E1" w:rsidP="0098569E">
            <w:pPr>
              <w:jc w:val="center"/>
              <w:rPr>
                <w:rFonts w:ascii="Arial" w:hAnsi="Arial" w:cs="Arial"/>
                <w:b/>
                <w:bCs/>
                <w:color w:val="000000"/>
              </w:rPr>
            </w:pPr>
            <w:bookmarkStart w:id="1" w:name="_Hlk107477388"/>
            <w:r w:rsidRPr="00635CBC">
              <w:rPr>
                <w:rFonts w:ascii="Arial" w:hAnsi="Arial" w:cs="Arial"/>
                <w:b/>
                <w:bCs/>
                <w:color w:val="000000"/>
              </w:rPr>
              <w:t>Year</w:t>
            </w:r>
          </w:p>
        </w:tc>
        <w:tc>
          <w:tcPr>
            <w:tcW w:w="243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58CD7CEA" w14:textId="77777777" w:rsidR="007B62E1" w:rsidRPr="00635CBC" w:rsidRDefault="007B62E1" w:rsidP="0098569E">
            <w:pPr>
              <w:jc w:val="center"/>
              <w:rPr>
                <w:rFonts w:ascii="Arial" w:hAnsi="Arial" w:cs="Arial"/>
                <w:b/>
                <w:bCs/>
                <w:color w:val="000000"/>
              </w:rPr>
            </w:pPr>
            <w:r w:rsidRPr="00635CBC">
              <w:rPr>
                <w:rFonts w:ascii="Arial" w:hAnsi="Arial" w:cs="Arial"/>
                <w:b/>
                <w:bCs/>
                <w:color w:val="000000"/>
              </w:rPr>
              <w:t>Type</w:t>
            </w:r>
          </w:p>
        </w:tc>
        <w:tc>
          <w:tcPr>
            <w:tcW w:w="2247"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5E3E04A2" w14:textId="77777777" w:rsidR="007B62E1" w:rsidRPr="00635CBC" w:rsidRDefault="007B62E1" w:rsidP="0098569E">
            <w:pPr>
              <w:jc w:val="center"/>
              <w:rPr>
                <w:rFonts w:ascii="Arial" w:hAnsi="Arial" w:cs="Arial"/>
                <w:b/>
                <w:bCs/>
                <w:color w:val="000000"/>
              </w:rPr>
            </w:pPr>
            <w:r w:rsidRPr="00635CBC">
              <w:rPr>
                <w:rFonts w:ascii="Arial" w:hAnsi="Arial" w:cs="Arial"/>
                <w:b/>
                <w:bCs/>
                <w:color w:val="000000"/>
              </w:rPr>
              <w:t>Total</w:t>
            </w:r>
          </w:p>
        </w:tc>
      </w:tr>
      <w:tr w:rsidR="007B62E1" w:rsidRPr="00635CBC" w14:paraId="07FEEEB0" w14:textId="77777777" w:rsidTr="007B62E1">
        <w:trPr>
          <w:trHeight w:val="288"/>
        </w:trPr>
        <w:tc>
          <w:tcPr>
            <w:tcW w:w="16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F3CAE23" w14:textId="77777777" w:rsidR="007B62E1" w:rsidRPr="009745D8" w:rsidRDefault="007B62E1" w:rsidP="0098569E">
            <w:pPr>
              <w:jc w:val="center"/>
              <w:rPr>
                <w:rFonts w:ascii="Arial" w:hAnsi="Arial" w:cs="Arial"/>
                <w:color w:val="000000"/>
                <w:sz w:val="22"/>
                <w:szCs w:val="22"/>
              </w:rPr>
            </w:pPr>
            <w:r w:rsidRPr="009745D8">
              <w:rPr>
                <w:rFonts w:ascii="Arial" w:hAnsi="Arial" w:cs="Arial"/>
                <w:color w:val="000000"/>
                <w:sz w:val="22"/>
                <w:szCs w:val="22"/>
              </w:rPr>
              <w:t>1999-2021</w:t>
            </w:r>
          </w:p>
        </w:tc>
        <w:tc>
          <w:tcPr>
            <w:tcW w:w="24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F13B26" w14:textId="77777777" w:rsidR="007B62E1" w:rsidRPr="009745D8" w:rsidRDefault="007B62E1" w:rsidP="0098569E">
            <w:pPr>
              <w:rPr>
                <w:rFonts w:ascii="Arial" w:hAnsi="Arial" w:cs="Arial"/>
                <w:color w:val="000000"/>
                <w:sz w:val="22"/>
                <w:szCs w:val="22"/>
              </w:rPr>
            </w:pPr>
            <w:r w:rsidRPr="009745D8">
              <w:rPr>
                <w:rFonts w:ascii="Arial" w:hAnsi="Arial" w:cs="Arial"/>
                <w:color w:val="000000"/>
                <w:sz w:val="22"/>
                <w:szCs w:val="22"/>
              </w:rPr>
              <w:t>Retail Tables/Slots</w:t>
            </w:r>
          </w:p>
        </w:tc>
        <w:tc>
          <w:tcPr>
            <w:tcW w:w="22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76F0C0" w14:textId="77777777" w:rsidR="007B62E1" w:rsidRPr="009745D8" w:rsidRDefault="007B62E1" w:rsidP="0098569E">
            <w:pPr>
              <w:rPr>
                <w:rFonts w:ascii="Arial" w:hAnsi="Arial" w:cs="Arial"/>
                <w:color w:val="000000"/>
                <w:sz w:val="22"/>
                <w:szCs w:val="22"/>
              </w:rPr>
            </w:pPr>
            <w:r w:rsidRPr="009745D8">
              <w:rPr>
                <w:rFonts w:ascii="Arial" w:hAnsi="Arial" w:cs="Arial"/>
                <w:color w:val="000000"/>
                <w:sz w:val="22"/>
                <w:szCs w:val="22"/>
              </w:rPr>
              <w:t>$2.43 billion</w:t>
            </w:r>
          </w:p>
        </w:tc>
      </w:tr>
      <w:tr w:rsidR="007B62E1" w:rsidRPr="00635CBC" w14:paraId="51FEAC1C" w14:textId="77777777" w:rsidTr="007B62E1">
        <w:trPr>
          <w:trHeight w:val="288"/>
        </w:trPr>
        <w:tc>
          <w:tcPr>
            <w:tcW w:w="16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178FDB" w14:textId="77777777" w:rsidR="007B62E1" w:rsidRPr="009745D8" w:rsidRDefault="007B62E1" w:rsidP="0098569E">
            <w:pPr>
              <w:jc w:val="center"/>
              <w:rPr>
                <w:rFonts w:ascii="Arial" w:hAnsi="Arial" w:cs="Arial"/>
                <w:color w:val="000000"/>
                <w:sz w:val="22"/>
                <w:szCs w:val="22"/>
              </w:rPr>
            </w:pPr>
            <w:r w:rsidRPr="009745D8">
              <w:rPr>
                <w:rFonts w:ascii="Arial" w:hAnsi="Arial" w:cs="Arial"/>
                <w:color w:val="000000"/>
                <w:sz w:val="22"/>
                <w:szCs w:val="22"/>
              </w:rPr>
              <w:t>2020-2021</w:t>
            </w:r>
          </w:p>
        </w:tc>
        <w:tc>
          <w:tcPr>
            <w:tcW w:w="24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F6AE0F" w14:textId="77777777" w:rsidR="007B62E1" w:rsidRPr="009745D8" w:rsidRDefault="007B62E1" w:rsidP="0098569E">
            <w:pPr>
              <w:rPr>
                <w:rFonts w:ascii="Arial" w:hAnsi="Arial" w:cs="Arial"/>
                <w:color w:val="000000"/>
                <w:sz w:val="22"/>
                <w:szCs w:val="22"/>
              </w:rPr>
            </w:pPr>
            <w:r w:rsidRPr="009745D8">
              <w:rPr>
                <w:rFonts w:ascii="Arial" w:hAnsi="Arial" w:cs="Arial"/>
                <w:color w:val="000000"/>
                <w:sz w:val="22"/>
                <w:szCs w:val="22"/>
              </w:rPr>
              <w:t>Retail Sports Betting</w:t>
            </w:r>
          </w:p>
        </w:tc>
        <w:tc>
          <w:tcPr>
            <w:tcW w:w="22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8045B3" w14:textId="77777777" w:rsidR="007B62E1" w:rsidRPr="009745D8" w:rsidRDefault="007B62E1" w:rsidP="0098569E">
            <w:pPr>
              <w:rPr>
                <w:rFonts w:ascii="Arial" w:hAnsi="Arial" w:cs="Arial"/>
                <w:color w:val="000000"/>
                <w:sz w:val="22"/>
                <w:szCs w:val="22"/>
              </w:rPr>
            </w:pPr>
            <w:r w:rsidRPr="009745D8">
              <w:rPr>
                <w:rFonts w:ascii="Arial" w:hAnsi="Arial" w:cs="Arial"/>
                <w:color w:val="000000"/>
                <w:sz w:val="22"/>
                <w:szCs w:val="22"/>
              </w:rPr>
              <w:t xml:space="preserve">$1.7 million </w:t>
            </w:r>
          </w:p>
        </w:tc>
      </w:tr>
      <w:tr w:rsidR="007B62E1" w:rsidRPr="00635CBC" w14:paraId="678A407C" w14:textId="77777777" w:rsidTr="007B62E1">
        <w:trPr>
          <w:trHeight w:val="288"/>
        </w:trPr>
        <w:tc>
          <w:tcPr>
            <w:tcW w:w="16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1D7DF9" w14:textId="77777777" w:rsidR="007B62E1" w:rsidRPr="009745D8" w:rsidRDefault="007B62E1" w:rsidP="0098569E">
            <w:pPr>
              <w:jc w:val="center"/>
              <w:rPr>
                <w:rFonts w:ascii="Arial" w:hAnsi="Arial" w:cs="Arial"/>
                <w:color w:val="000000"/>
                <w:sz w:val="22"/>
                <w:szCs w:val="22"/>
              </w:rPr>
            </w:pPr>
            <w:r w:rsidRPr="009745D8">
              <w:rPr>
                <w:rFonts w:ascii="Arial" w:hAnsi="Arial" w:cs="Arial"/>
                <w:color w:val="000000"/>
                <w:sz w:val="22"/>
                <w:szCs w:val="22"/>
              </w:rPr>
              <w:t>2021</w:t>
            </w:r>
          </w:p>
        </w:tc>
        <w:tc>
          <w:tcPr>
            <w:tcW w:w="24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767E18" w14:textId="77777777" w:rsidR="007B62E1" w:rsidRPr="009745D8" w:rsidRDefault="007B62E1" w:rsidP="0098569E">
            <w:pPr>
              <w:rPr>
                <w:rFonts w:ascii="Arial" w:hAnsi="Arial" w:cs="Arial"/>
                <w:color w:val="000000"/>
                <w:sz w:val="22"/>
                <w:szCs w:val="22"/>
              </w:rPr>
            </w:pPr>
            <w:r w:rsidRPr="009745D8">
              <w:rPr>
                <w:rFonts w:ascii="Arial" w:hAnsi="Arial" w:cs="Arial"/>
                <w:color w:val="000000"/>
                <w:sz w:val="22"/>
                <w:szCs w:val="22"/>
              </w:rPr>
              <w:t>Internet Gaming</w:t>
            </w:r>
          </w:p>
        </w:tc>
        <w:tc>
          <w:tcPr>
            <w:tcW w:w="22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D020E1" w14:textId="77777777" w:rsidR="007B62E1" w:rsidRPr="009745D8" w:rsidRDefault="007B62E1" w:rsidP="0098569E">
            <w:pPr>
              <w:rPr>
                <w:rFonts w:ascii="Arial" w:hAnsi="Arial" w:cs="Arial"/>
                <w:color w:val="000000"/>
                <w:sz w:val="22"/>
                <w:szCs w:val="22"/>
              </w:rPr>
            </w:pPr>
            <w:r w:rsidRPr="009745D8">
              <w:rPr>
                <w:rFonts w:ascii="Arial" w:hAnsi="Arial" w:cs="Arial"/>
                <w:color w:val="000000"/>
                <w:sz w:val="22"/>
                <w:szCs w:val="22"/>
              </w:rPr>
              <w:t>$87.2 million</w:t>
            </w:r>
          </w:p>
        </w:tc>
      </w:tr>
      <w:tr w:rsidR="007B62E1" w:rsidRPr="00635CBC" w14:paraId="45A0BEF5" w14:textId="77777777" w:rsidTr="007B62E1">
        <w:trPr>
          <w:trHeight w:val="288"/>
        </w:trPr>
        <w:tc>
          <w:tcPr>
            <w:tcW w:w="16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DD8D2B4" w14:textId="77777777" w:rsidR="007B62E1" w:rsidRPr="009745D8" w:rsidRDefault="007B62E1" w:rsidP="0098569E">
            <w:pPr>
              <w:jc w:val="center"/>
              <w:rPr>
                <w:rFonts w:ascii="Arial" w:hAnsi="Arial" w:cs="Arial"/>
                <w:color w:val="000000"/>
                <w:sz w:val="22"/>
                <w:szCs w:val="22"/>
              </w:rPr>
            </w:pPr>
            <w:r w:rsidRPr="009745D8">
              <w:rPr>
                <w:rFonts w:ascii="Arial" w:hAnsi="Arial" w:cs="Arial"/>
                <w:color w:val="000000"/>
                <w:sz w:val="22"/>
                <w:szCs w:val="22"/>
              </w:rPr>
              <w:t>2021</w:t>
            </w:r>
          </w:p>
        </w:tc>
        <w:tc>
          <w:tcPr>
            <w:tcW w:w="24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180E52" w14:textId="77777777" w:rsidR="007B62E1" w:rsidRPr="009745D8" w:rsidRDefault="007B62E1" w:rsidP="0098569E">
            <w:pPr>
              <w:rPr>
                <w:rFonts w:ascii="Arial" w:hAnsi="Arial" w:cs="Arial"/>
                <w:color w:val="000000"/>
                <w:sz w:val="22"/>
                <w:szCs w:val="22"/>
              </w:rPr>
            </w:pPr>
            <w:r w:rsidRPr="009745D8">
              <w:rPr>
                <w:rFonts w:ascii="Arial" w:hAnsi="Arial" w:cs="Arial"/>
                <w:color w:val="000000"/>
                <w:sz w:val="22"/>
                <w:szCs w:val="22"/>
              </w:rPr>
              <w:t>Internet Sports Betting</w:t>
            </w:r>
          </w:p>
        </w:tc>
        <w:tc>
          <w:tcPr>
            <w:tcW w:w="22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EA2BD8" w14:textId="77777777" w:rsidR="007B62E1" w:rsidRPr="009745D8" w:rsidRDefault="007B62E1" w:rsidP="0098569E">
            <w:pPr>
              <w:rPr>
                <w:rFonts w:ascii="Arial" w:hAnsi="Arial" w:cs="Arial"/>
                <w:color w:val="000000"/>
                <w:sz w:val="22"/>
                <w:szCs w:val="22"/>
              </w:rPr>
            </w:pPr>
            <w:r w:rsidRPr="009745D8">
              <w:rPr>
                <w:rFonts w:ascii="Arial" w:hAnsi="Arial" w:cs="Arial"/>
                <w:color w:val="000000"/>
                <w:sz w:val="22"/>
                <w:szCs w:val="22"/>
              </w:rPr>
              <w:t>$1.8 million</w:t>
            </w:r>
          </w:p>
        </w:tc>
      </w:tr>
      <w:tr w:rsidR="007B62E1" w:rsidRPr="00635CBC" w14:paraId="3E737458" w14:textId="77777777" w:rsidTr="007B62E1">
        <w:trPr>
          <w:trHeight w:val="288"/>
        </w:trPr>
        <w:tc>
          <w:tcPr>
            <w:tcW w:w="16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CA8D67" w14:textId="77777777" w:rsidR="007B62E1" w:rsidRPr="009745D8" w:rsidRDefault="007B62E1" w:rsidP="0098569E">
            <w:pPr>
              <w:jc w:val="center"/>
              <w:rPr>
                <w:rFonts w:ascii="Arial" w:hAnsi="Arial" w:cs="Arial"/>
                <w:color w:val="000000"/>
                <w:sz w:val="22"/>
                <w:szCs w:val="22"/>
              </w:rPr>
            </w:pPr>
            <w:r w:rsidRPr="009745D8">
              <w:rPr>
                <w:rFonts w:ascii="Arial" w:hAnsi="Arial" w:cs="Arial"/>
                <w:color w:val="000000"/>
                <w:sz w:val="22"/>
                <w:szCs w:val="22"/>
              </w:rPr>
              <w:t>2019-2021</w:t>
            </w:r>
          </w:p>
        </w:tc>
        <w:tc>
          <w:tcPr>
            <w:tcW w:w="24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9F7E6F" w14:textId="77777777" w:rsidR="007B62E1" w:rsidRPr="009745D8" w:rsidRDefault="007B62E1" w:rsidP="0098569E">
            <w:pPr>
              <w:rPr>
                <w:rFonts w:ascii="Arial" w:hAnsi="Arial" w:cs="Arial"/>
                <w:color w:val="000000"/>
                <w:sz w:val="22"/>
                <w:szCs w:val="22"/>
              </w:rPr>
            </w:pPr>
            <w:r w:rsidRPr="009745D8">
              <w:rPr>
                <w:rFonts w:ascii="Arial" w:hAnsi="Arial" w:cs="Arial"/>
                <w:color w:val="000000"/>
                <w:sz w:val="22"/>
                <w:szCs w:val="22"/>
              </w:rPr>
              <w:t>Fantasy Contest</w:t>
            </w:r>
          </w:p>
        </w:tc>
        <w:tc>
          <w:tcPr>
            <w:tcW w:w="22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C2563E" w14:textId="4CFD2BAF" w:rsidR="007B62E1" w:rsidRPr="009745D8" w:rsidRDefault="007B62E1" w:rsidP="0098569E">
            <w:pPr>
              <w:rPr>
                <w:rFonts w:ascii="Arial" w:hAnsi="Arial" w:cs="Arial"/>
                <w:color w:val="000000"/>
                <w:sz w:val="22"/>
                <w:szCs w:val="22"/>
              </w:rPr>
            </w:pPr>
            <w:r w:rsidRPr="009745D8">
              <w:rPr>
                <w:rFonts w:ascii="Arial" w:hAnsi="Arial" w:cs="Arial"/>
                <w:color w:val="000000"/>
                <w:sz w:val="22"/>
                <w:szCs w:val="22"/>
              </w:rPr>
              <w:t xml:space="preserve">$2.4 </w:t>
            </w:r>
            <w:r w:rsidR="009745D8" w:rsidRPr="009745D8">
              <w:rPr>
                <w:rFonts w:ascii="Arial" w:hAnsi="Arial" w:cs="Arial"/>
                <w:color w:val="000000"/>
                <w:sz w:val="22"/>
                <w:szCs w:val="22"/>
              </w:rPr>
              <w:t>m</w:t>
            </w:r>
            <w:r w:rsidRPr="009745D8">
              <w:rPr>
                <w:rFonts w:ascii="Arial" w:hAnsi="Arial" w:cs="Arial"/>
                <w:color w:val="000000"/>
                <w:sz w:val="22"/>
                <w:szCs w:val="22"/>
              </w:rPr>
              <w:t>illion               </w:t>
            </w:r>
          </w:p>
        </w:tc>
      </w:tr>
      <w:tr w:rsidR="007B62E1" w:rsidRPr="00635CBC" w14:paraId="7207D00D" w14:textId="77777777" w:rsidTr="007B62E1">
        <w:trPr>
          <w:trHeight w:val="288"/>
        </w:trPr>
        <w:tc>
          <w:tcPr>
            <w:tcW w:w="16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433C6B" w14:textId="77777777" w:rsidR="007B62E1" w:rsidRPr="009745D8" w:rsidRDefault="007B62E1" w:rsidP="0098569E">
            <w:pPr>
              <w:jc w:val="center"/>
              <w:rPr>
                <w:rFonts w:ascii="Arial" w:hAnsi="Arial" w:cs="Arial"/>
                <w:b/>
                <w:bCs/>
                <w:color w:val="000000"/>
                <w:sz w:val="22"/>
                <w:szCs w:val="22"/>
              </w:rPr>
            </w:pPr>
            <w:r w:rsidRPr="009745D8">
              <w:rPr>
                <w:rFonts w:ascii="Arial" w:hAnsi="Arial" w:cs="Arial"/>
                <w:b/>
                <w:bCs/>
                <w:color w:val="000000"/>
                <w:sz w:val="22"/>
                <w:szCs w:val="22"/>
              </w:rPr>
              <w:t>1999-2021</w:t>
            </w:r>
          </w:p>
        </w:tc>
        <w:tc>
          <w:tcPr>
            <w:tcW w:w="24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71B6A8" w14:textId="77777777" w:rsidR="007B62E1" w:rsidRPr="009745D8" w:rsidRDefault="007B62E1" w:rsidP="0098569E">
            <w:pPr>
              <w:rPr>
                <w:rFonts w:ascii="Arial" w:hAnsi="Arial" w:cs="Arial"/>
                <w:b/>
                <w:bCs/>
                <w:color w:val="000000"/>
                <w:sz w:val="22"/>
                <w:szCs w:val="22"/>
              </w:rPr>
            </w:pPr>
            <w:r w:rsidRPr="009745D8">
              <w:rPr>
                <w:rFonts w:ascii="Arial" w:hAnsi="Arial" w:cs="Arial"/>
                <w:b/>
                <w:bCs/>
                <w:color w:val="000000"/>
                <w:sz w:val="22"/>
                <w:szCs w:val="22"/>
              </w:rPr>
              <w:t>Total</w:t>
            </w:r>
          </w:p>
        </w:tc>
        <w:tc>
          <w:tcPr>
            <w:tcW w:w="22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790028" w14:textId="77777777" w:rsidR="007B62E1" w:rsidRPr="009745D8" w:rsidRDefault="007B62E1" w:rsidP="0098569E">
            <w:pPr>
              <w:rPr>
                <w:rFonts w:ascii="Arial" w:hAnsi="Arial" w:cs="Arial"/>
                <w:b/>
                <w:bCs/>
                <w:color w:val="000000"/>
                <w:sz w:val="22"/>
                <w:szCs w:val="22"/>
              </w:rPr>
            </w:pPr>
            <w:r w:rsidRPr="009745D8">
              <w:rPr>
                <w:rFonts w:ascii="Arial" w:hAnsi="Arial" w:cs="Arial"/>
                <w:b/>
                <w:bCs/>
                <w:color w:val="000000"/>
                <w:sz w:val="22"/>
                <w:szCs w:val="22"/>
              </w:rPr>
              <w:t>$2.52 billion</w:t>
            </w:r>
          </w:p>
        </w:tc>
      </w:tr>
      <w:bookmarkEnd w:id="1"/>
    </w:tbl>
    <w:p w14:paraId="30C5748A" w14:textId="77777777" w:rsidR="007B62E1" w:rsidRPr="00635CBC" w:rsidRDefault="007B62E1" w:rsidP="007B62E1">
      <w:pPr>
        <w:rPr>
          <w:rFonts w:ascii="Arial" w:hAnsi="Arial" w:cs="Arial"/>
        </w:rPr>
      </w:pPr>
    </w:p>
    <w:p w14:paraId="2214A8AD" w14:textId="584C52EA" w:rsidR="007B62E1" w:rsidRDefault="007B62E1" w:rsidP="007B62E1">
      <w:pPr>
        <w:rPr>
          <w:rFonts w:ascii="Arial" w:hAnsi="Arial" w:cs="Arial"/>
        </w:rPr>
      </w:pPr>
      <w:r w:rsidRPr="00A27E0A">
        <w:rPr>
          <w:rFonts w:ascii="Arial" w:hAnsi="Arial" w:cs="Arial"/>
        </w:rPr>
        <w:t>The Michigan Gaming Control and Revenue Act was signed by former Gov. John Engler on July 17, 1997. Gov. Gretchen Whitmer signed the Lawful Internet Gaming Act</w:t>
      </w:r>
      <w:r>
        <w:rPr>
          <w:rFonts w:ascii="Arial" w:hAnsi="Arial" w:cs="Arial"/>
        </w:rPr>
        <w:t>,</w:t>
      </w:r>
      <w:r w:rsidRPr="00A27E0A">
        <w:rPr>
          <w:rFonts w:ascii="Arial" w:hAnsi="Arial" w:cs="Arial"/>
        </w:rPr>
        <w:t xml:space="preserve"> Lawful Sports Betting Act</w:t>
      </w:r>
      <w:r>
        <w:rPr>
          <w:rFonts w:ascii="Arial" w:hAnsi="Arial" w:cs="Arial"/>
        </w:rPr>
        <w:t xml:space="preserve">, and the Fantasy Contests Consumer Protection Act </w:t>
      </w:r>
      <w:r w:rsidRPr="00A27E0A">
        <w:rPr>
          <w:rFonts w:ascii="Arial" w:hAnsi="Arial" w:cs="Arial"/>
        </w:rPr>
        <w:t xml:space="preserve"> on Dec. 20, 2019.</w:t>
      </w:r>
      <w:r>
        <w:rPr>
          <w:rFonts w:ascii="Arial" w:hAnsi="Arial" w:cs="Arial"/>
        </w:rPr>
        <w:t xml:space="preserve"> The MGCB authorized online gaming and sports betting on Jan. 22, 20</w:t>
      </w:r>
      <w:r w:rsidR="00835768">
        <w:rPr>
          <w:rFonts w:ascii="Arial" w:hAnsi="Arial" w:cs="Arial"/>
        </w:rPr>
        <w:t>2</w:t>
      </w:r>
      <w:r>
        <w:rPr>
          <w:rFonts w:ascii="Arial" w:hAnsi="Arial" w:cs="Arial"/>
        </w:rPr>
        <w:t>1. If a person as of May 1, 2018, met the definition of a fantasy contest operator in the Fantasy Contests Consumer Protection Act, the person, or entity, can continue offering fantasy contests until issued or denied a license under the law, which also was signed by Gov. Whitmer on Dec. 20, 2019.</w:t>
      </w:r>
    </w:p>
    <w:p w14:paraId="0D97C6D3" w14:textId="77777777" w:rsidR="007B62E1" w:rsidRDefault="007B62E1" w:rsidP="007B62E1">
      <w:pPr>
        <w:rPr>
          <w:rFonts w:ascii="Arial" w:hAnsi="Arial" w:cs="Arial"/>
        </w:rPr>
      </w:pPr>
    </w:p>
    <w:p w14:paraId="12B33531" w14:textId="4A5C74F4" w:rsidR="007B62E1" w:rsidRDefault="007B62E1" w:rsidP="007B62E1">
      <w:pPr>
        <w:rPr>
          <w:rFonts w:ascii="Arial" w:hAnsi="Arial" w:cs="Arial"/>
        </w:rPr>
      </w:pPr>
      <w:r>
        <w:rPr>
          <w:rFonts w:ascii="Arial" w:hAnsi="Arial" w:cs="Arial"/>
        </w:rPr>
        <w:t>“Legal, regulated gaming has grown in Michigan</w:t>
      </w:r>
      <w:r w:rsidR="00EB36ED">
        <w:rPr>
          <w:rFonts w:ascii="Arial" w:hAnsi="Arial" w:cs="Arial"/>
        </w:rPr>
        <w:t xml:space="preserve"> in</w:t>
      </w:r>
      <w:r>
        <w:rPr>
          <w:rFonts w:ascii="Arial" w:hAnsi="Arial" w:cs="Arial"/>
        </w:rPr>
        <w:t xml:space="preserve"> ways no one likely imagined in 1997,” Williams said. “At that time, the internet had about 130 million users, and many thought it was a passing fad. The focus was on the brick-and-mortar casinos and what they could do for the city of Detroit. Both forms of gaming have proven their worth in raising funding for Michigan’s schools.”</w:t>
      </w:r>
    </w:p>
    <w:p w14:paraId="7460DFBF" w14:textId="77777777" w:rsidR="007B62E1" w:rsidRPr="00F5083E" w:rsidRDefault="007B62E1" w:rsidP="007B62E1">
      <w:pPr>
        <w:rPr>
          <w:rFonts w:ascii="Arial" w:hAnsi="Arial" w:cs="Arial"/>
          <w:b/>
          <w:bCs/>
        </w:rPr>
      </w:pPr>
      <w:r>
        <w:rPr>
          <w:rFonts w:ascii="Arial" w:hAnsi="Arial" w:cs="Arial"/>
        </w:rPr>
        <w:br/>
      </w:r>
      <w:r w:rsidRPr="00F5083E">
        <w:rPr>
          <w:rFonts w:ascii="Arial" w:hAnsi="Arial" w:cs="Arial"/>
          <w:b/>
          <w:bCs/>
        </w:rPr>
        <w:t>Detroit tax revenue</w:t>
      </w:r>
    </w:p>
    <w:p w14:paraId="685E2A8D" w14:textId="77777777" w:rsidR="007B62E1" w:rsidRDefault="007B62E1" w:rsidP="007B62E1">
      <w:pPr>
        <w:rPr>
          <w:rFonts w:ascii="Arial" w:hAnsi="Arial" w:cs="Arial"/>
        </w:rPr>
      </w:pPr>
      <w:r>
        <w:rPr>
          <w:rFonts w:ascii="Arial" w:hAnsi="Arial" w:cs="Arial"/>
        </w:rPr>
        <w:t xml:space="preserve">The Detroit casinos have provided significant tax revenue to the city of Detroit since their inception. The casinos have reported submitting to the city an estimated $3.44 billion in taxes from 1999 through 2021. </w:t>
      </w:r>
    </w:p>
    <w:p w14:paraId="7F934F6A" w14:textId="77777777" w:rsidR="007B62E1" w:rsidRDefault="007B62E1" w:rsidP="007B62E1">
      <w:pPr>
        <w:rPr>
          <w:rFonts w:ascii="Arial" w:hAnsi="Arial" w:cs="Arial"/>
        </w:rPr>
      </w:pPr>
    </w:p>
    <w:tbl>
      <w:tblPr>
        <w:tblW w:w="6550" w:type="dxa"/>
        <w:tblInd w:w="198" w:type="dxa"/>
        <w:tblCellMar>
          <w:left w:w="0" w:type="dxa"/>
          <w:right w:w="0" w:type="dxa"/>
        </w:tblCellMar>
        <w:tblLook w:val="04A0" w:firstRow="1" w:lastRow="0" w:firstColumn="1" w:lastColumn="0" w:noHBand="0" w:noVBand="1"/>
      </w:tblPr>
      <w:tblGrid>
        <w:gridCol w:w="1592"/>
        <w:gridCol w:w="2430"/>
        <w:gridCol w:w="2528"/>
      </w:tblGrid>
      <w:tr w:rsidR="007B62E1" w14:paraId="754F200D" w14:textId="77777777" w:rsidTr="007B62E1">
        <w:trPr>
          <w:trHeight w:val="288"/>
        </w:trPr>
        <w:tc>
          <w:tcPr>
            <w:tcW w:w="1592"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515AA0CC" w14:textId="77777777" w:rsidR="007B62E1" w:rsidRDefault="007B62E1" w:rsidP="0098569E">
            <w:pPr>
              <w:spacing w:line="252" w:lineRule="auto"/>
              <w:jc w:val="center"/>
              <w:rPr>
                <w:rFonts w:ascii="Arial" w:hAnsi="Arial" w:cs="Arial"/>
                <w:b/>
                <w:bCs/>
                <w:color w:val="000000"/>
              </w:rPr>
            </w:pPr>
            <w:r>
              <w:rPr>
                <w:rFonts w:ascii="Arial" w:hAnsi="Arial" w:cs="Arial"/>
                <w:b/>
                <w:bCs/>
                <w:color w:val="000000"/>
              </w:rPr>
              <w:t>Year</w:t>
            </w:r>
          </w:p>
        </w:tc>
        <w:tc>
          <w:tcPr>
            <w:tcW w:w="243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1CD7A5BA" w14:textId="77777777" w:rsidR="007B62E1" w:rsidRDefault="007B62E1" w:rsidP="0098569E">
            <w:pPr>
              <w:spacing w:line="252" w:lineRule="auto"/>
              <w:jc w:val="center"/>
              <w:rPr>
                <w:rFonts w:ascii="Arial" w:hAnsi="Arial" w:cs="Arial"/>
                <w:b/>
                <w:bCs/>
                <w:color w:val="000000"/>
              </w:rPr>
            </w:pPr>
            <w:r>
              <w:rPr>
                <w:rFonts w:ascii="Arial" w:hAnsi="Arial" w:cs="Arial"/>
                <w:b/>
                <w:bCs/>
                <w:color w:val="000000"/>
              </w:rPr>
              <w:t>Type</w:t>
            </w:r>
          </w:p>
        </w:tc>
        <w:tc>
          <w:tcPr>
            <w:tcW w:w="2528" w:type="dxa"/>
            <w:tcBorders>
              <w:top w:val="single" w:sz="8" w:space="0" w:color="auto"/>
              <w:left w:val="nil"/>
              <w:bottom w:val="single" w:sz="8" w:space="0" w:color="auto"/>
              <w:right w:val="single" w:sz="8" w:space="0" w:color="auto"/>
            </w:tcBorders>
            <w:shd w:val="clear" w:color="auto" w:fill="D9D9D9"/>
            <w:hideMark/>
          </w:tcPr>
          <w:p w14:paraId="17FD8E77" w14:textId="77777777" w:rsidR="007B62E1" w:rsidRDefault="007B62E1" w:rsidP="0098569E">
            <w:pPr>
              <w:spacing w:line="252" w:lineRule="auto"/>
              <w:jc w:val="center"/>
              <w:rPr>
                <w:rFonts w:ascii="Arial" w:hAnsi="Arial" w:cs="Arial"/>
                <w:b/>
                <w:bCs/>
                <w:color w:val="000000"/>
              </w:rPr>
            </w:pPr>
            <w:r>
              <w:rPr>
                <w:rFonts w:ascii="Arial" w:hAnsi="Arial" w:cs="Arial"/>
                <w:b/>
                <w:bCs/>
                <w:color w:val="000000"/>
              </w:rPr>
              <w:t>Total</w:t>
            </w:r>
          </w:p>
        </w:tc>
      </w:tr>
      <w:tr w:rsidR="007B62E1" w14:paraId="5BB937FB" w14:textId="77777777" w:rsidTr="007B62E1">
        <w:trPr>
          <w:trHeight w:val="288"/>
        </w:trPr>
        <w:tc>
          <w:tcPr>
            <w:tcW w:w="15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8D9518" w14:textId="77777777" w:rsidR="007B62E1" w:rsidRPr="004869F9" w:rsidRDefault="007B62E1" w:rsidP="0098569E">
            <w:pPr>
              <w:spacing w:line="252" w:lineRule="auto"/>
              <w:jc w:val="center"/>
              <w:rPr>
                <w:rFonts w:ascii="Arial" w:hAnsi="Arial" w:cs="Arial"/>
                <w:color w:val="000000"/>
                <w:sz w:val="22"/>
                <w:szCs w:val="22"/>
              </w:rPr>
            </w:pPr>
            <w:r w:rsidRPr="004869F9">
              <w:rPr>
                <w:rFonts w:ascii="Arial" w:hAnsi="Arial" w:cs="Arial"/>
                <w:color w:val="000000"/>
                <w:sz w:val="22"/>
                <w:szCs w:val="22"/>
              </w:rPr>
              <w:t>1999-2021</w:t>
            </w:r>
          </w:p>
        </w:tc>
        <w:tc>
          <w:tcPr>
            <w:tcW w:w="24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9DBC06" w14:textId="77777777" w:rsidR="007B62E1" w:rsidRPr="004869F9" w:rsidRDefault="007B62E1" w:rsidP="0098569E">
            <w:pPr>
              <w:spacing w:line="252" w:lineRule="auto"/>
              <w:rPr>
                <w:rFonts w:ascii="Arial" w:hAnsi="Arial" w:cs="Arial"/>
                <w:color w:val="000000"/>
                <w:sz w:val="22"/>
                <w:szCs w:val="22"/>
              </w:rPr>
            </w:pPr>
            <w:r w:rsidRPr="004869F9">
              <w:rPr>
                <w:rFonts w:ascii="Arial" w:hAnsi="Arial" w:cs="Arial"/>
                <w:color w:val="000000"/>
                <w:sz w:val="22"/>
                <w:szCs w:val="22"/>
              </w:rPr>
              <w:t>Retail Tables/Slots</w:t>
            </w:r>
          </w:p>
        </w:tc>
        <w:tc>
          <w:tcPr>
            <w:tcW w:w="2528" w:type="dxa"/>
            <w:tcBorders>
              <w:top w:val="nil"/>
              <w:left w:val="nil"/>
              <w:bottom w:val="single" w:sz="8" w:space="0" w:color="auto"/>
              <w:right w:val="single" w:sz="8" w:space="0" w:color="auto"/>
            </w:tcBorders>
            <w:hideMark/>
          </w:tcPr>
          <w:p w14:paraId="7742E0DB" w14:textId="77777777" w:rsidR="007B62E1" w:rsidRPr="00292C82" w:rsidRDefault="007B62E1" w:rsidP="0098569E">
            <w:pPr>
              <w:spacing w:line="252" w:lineRule="auto"/>
              <w:jc w:val="center"/>
              <w:rPr>
                <w:rFonts w:ascii="Arial" w:hAnsi="Arial" w:cs="Arial"/>
                <w:color w:val="000000"/>
                <w:sz w:val="22"/>
                <w:szCs w:val="22"/>
              </w:rPr>
            </w:pPr>
            <w:r w:rsidRPr="00292C82">
              <w:rPr>
                <w:rFonts w:ascii="Arial" w:hAnsi="Arial" w:cs="Arial"/>
                <w:color w:val="000000"/>
                <w:sz w:val="22"/>
                <w:szCs w:val="22"/>
              </w:rPr>
              <w:t>$ 3.39 billion</w:t>
            </w:r>
          </w:p>
        </w:tc>
      </w:tr>
      <w:tr w:rsidR="007B62E1" w14:paraId="142F97AC" w14:textId="77777777" w:rsidTr="007B62E1">
        <w:trPr>
          <w:trHeight w:val="288"/>
        </w:trPr>
        <w:tc>
          <w:tcPr>
            <w:tcW w:w="15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A56CED" w14:textId="77777777" w:rsidR="007B62E1" w:rsidRPr="004869F9" w:rsidRDefault="007B62E1" w:rsidP="0098569E">
            <w:pPr>
              <w:spacing w:line="252" w:lineRule="auto"/>
              <w:jc w:val="center"/>
              <w:rPr>
                <w:rFonts w:ascii="Arial" w:hAnsi="Arial" w:cs="Arial"/>
                <w:color w:val="000000"/>
                <w:sz w:val="22"/>
                <w:szCs w:val="22"/>
              </w:rPr>
            </w:pPr>
            <w:r w:rsidRPr="004869F9">
              <w:rPr>
                <w:rFonts w:ascii="Arial" w:hAnsi="Arial" w:cs="Arial"/>
                <w:color w:val="000000"/>
                <w:sz w:val="22"/>
                <w:szCs w:val="22"/>
              </w:rPr>
              <w:t>2020-2021</w:t>
            </w:r>
          </w:p>
        </w:tc>
        <w:tc>
          <w:tcPr>
            <w:tcW w:w="24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50AAA5" w14:textId="77777777" w:rsidR="007B62E1" w:rsidRPr="004869F9" w:rsidRDefault="007B62E1" w:rsidP="0098569E">
            <w:pPr>
              <w:spacing w:line="252" w:lineRule="auto"/>
              <w:rPr>
                <w:rFonts w:ascii="Arial" w:hAnsi="Arial" w:cs="Arial"/>
                <w:color w:val="000000"/>
                <w:sz w:val="22"/>
                <w:szCs w:val="22"/>
              </w:rPr>
            </w:pPr>
            <w:r w:rsidRPr="004869F9">
              <w:rPr>
                <w:rFonts w:ascii="Arial" w:hAnsi="Arial" w:cs="Arial"/>
                <w:color w:val="000000"/>
                <w:sz w:val="22"/>
                <w:szCs w:val="22"/>
              </w:rPr>
              <w:t>Retail Sports Betting</w:t>
            </w:r>
          </w:p>
        </w:tc>
        <w:tc>
          <w:tcPr>
            <w:tcW w:w="2528" w:type="dxa"/>
            <w:tcBorders>
              <w:top w:val="nil"/>
              <w:left w:val="nil"/>
              <w:bottom w:val="single" w:sz="8" w:space="0" w:color="auto"/>
              <w:right w:val="single" w:sz="8" w:space="0" w:color="auto"/>
            </w:tcBorders>
            <w:hideMark/>
          </w:tcPr>
          <w:p w14:paraId="65AF612B" w14:textId="77777777" w:rsidR="007B62E1" w:rsidRPr="00292C82" w:rsidRDefault="007B62E1" w:rsidP="0098569E">
            <w:pPr>
              <w:spacing w:line="252" w:lineRule="auto"/>
              <w:jc w:val="center"/>
              <w:rPr>
                <w:rFonts w:ascii="Arial" w:hAnsi="Arial" w:cs="Arial"/>
                <w:color w:val="000000"/>
                <w:sz w:val="22"/>
                <w:szCs w:val="22"/>
              </w:rPr>
            </w:pPr>
            <w:r w:rsidRPr="00292C82">
              <w:rPr>
                <w:rFonts w:ascii="Arial" w:hAnsi="Arial" w:cs="Arial"/>
                <w:color w:val="000000"/>
                <w:sz w:val="22"/>
                <w:szCs w:val="22"/>
              </w:rPr>
              <w:t>$ 2.1 million</w:t>
            </w:r>
          </w:p>
        </w:tc>
      </w:tr>
      <w:tr w:rsidR="007B62E1" w14:paraId="56550467" w14:textId="77777777" w:rsidTr="007B62E1">
        <w:trPr>
          <w:trHeight w:val="288"/>
        </w:trPr>
        <w:tc>
          <w:tcPr>
            <w:tcW w:w="15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0DA6E4A" w14:textId="77777777" w:rsidR="007B62E1" w:rsidRPr="004869F9" w:rsidRDefault="007B62E1" w:rsidP="0098569E">
            <w:pPr>
              <w:spacing w:line="252" w:lineRule="auto"/>
              <w:jc w:val="center"/>
              <w:rPr>
                <w:rFonts w:ascii="Arial" w:hAnsi="Arial" w:cs="Arial"/>
                <w:color w:val="000000"/>
                <w:sz w:val="22"/>
                <w:szCs w:val="22"/>
              </w:rPr>
            </w:pPr>
            <w:r w:rsidRPr="004869F9">
              <w:rPr>
                <w:rFonts w:ascii="Arial" w:hAnsi="Arial" w:cs="Arial"/>
                <w:color w:val="000000"/>
                <w:sz w:val="22"/>
                <w:szCs w:val="22"/>
              </w:rPr>
              <w:t>2021</w:t>
            </w:r>
          </w:p>
        </w:tc>
        <w:tc>
          <w:tcPr>
            <w:tcW w:w="24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C5C753" w14:textId="77777777" w:rsidR="007B62E1" w:rsidRPr="004869F9" w:rsidRDefault="007B62E1" w:rsidP="0098569E">
            <w:pPr>
              <w:spacing w:line="252" w:lineRule="auto"/>
              <w:rPr>
                <w:rFonts w:ascii="Arial" w:hAnsi="Arial" w:cs="Arial"/>
                <w:color w:val="000000"/>
                <w:sz w:val="22"/>
                <w:szCs w:val="22"/>
              </w:rPr>
            </w:pPr>
            <w:r w:rsidRPr="004869F9">
              <w:rPr>
                <w:rFonts w:ascii="Arial" w:hAnsi="Arial" w:cs="Arial"/>
                <w:color w:val="000000"/>
                <w:sz w:val="22"/>
                <w:szCs w:val="22"/>
              </w:rPr>
              <w:t>Internet Gaming</w:t>
            </w:r>
          </w:p>
        </w:tc>
        <w:tc>
          <w:tcPr>
            <w:tcW w:w="2528" w:type="dxa"/>
            <w:tcBorders>
              <w:top w:val="nil"/>
              <w:left w:val="nil"/>
              <w:bottom w:val="single" w:sz="8" w:space="0" w:color="auto"/>
              <w:right w:val="single" w:sz="8" w:space="0" w:color="auto"/>
            </w:tcBorders>
            <w:hideMark/>
          </w:tcPr>
          <w:p w14:paraId="7C7CAF10" w14:textId="77777777" w:rsidR="007B62E1" w:rsidRPr="00292C82" w:rsidRDefault="007B62E1" w:rsidP="0098569E">
            <w:pPr>
              <w:spacing w:line="252" w:lineRule="auto"/>
              <w:jc w:val="center"/>
              <w:rPr>
                <w:rFonts w:ascii="Arial" w:hAnsi="Arial" w:cs="Arial"/>
                <w:color w:val="000000"/>
                <w:sz w:val="22"/>
                <w:szCs w:val="22"/>
              </w:rPr>
            </w:pPr>
            <w:r w:rsidRPr="00292C82">
              <w:rPr>
                <w:rFonts w:ascii="Arial" w:hAnsi="Arial" w:cs="Arial"/>
                <w:color w:val="000000"/>
                <w:sz w:val="22"/>
                <w:szCs w:val="22"/>
              </w:rPr>
              <w:t>$ 48.0 million</w:t>
            </w:r>
          </w:p>
        </w:tc>
      </w:tr>
      <w:tr w:rsidR="007B62E1" w14:paraId="41306741" w14:textId="77777777" w:rsidTr="007B62E1">
        <w:trPr>
          <w:trHeight w:val="288"/>
        </w:trPr>
        <w:tc>
          <w:tcPr>
            <w:tcW w:w="15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96CC8C" w14:textId="77777777" w:rsidR="007B62E1" w:rsidRPr="004869F9" w:rsidRDefault="007B62E1" w:rsidP="0098569E">
            <w:pPr>
              <w:spacing w:line="252" w:lineRule="auto"/>
              <w:jc w:val="center"/>
              <w:rPr>
                <w:rFonts w:ascii="Arial" w:hAnsi="Arial" w:cs="Arial"/>
                <w:color w:val="000000"/>
                <w:sz w:val="22"/>
                <w:szCs w:val="22"/>
              </w:rPr>
            </w:pPr>
            <w:r w:rsidRPr="004869F9">
              <w:rPr>
                <w:rFonts w:ascii="Arial" w:hAnsi="Arial" w:cs="Arial"/>
                <w:color w:val="000000"/>
                <w:sz w:val="22"/>
                <w:szCs w:val="22"/>
              </w:rPr>
              <w:t>2021</w:t>
            </w:r>
          </w:p>
        </w:tc>
        <w:tc>
          <w:tcPr>
            <w:tcW w:w="24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31C444" w14:textId="77777777" w:rsidR="007B62E1" w:rsidRPr="004869F9" w:rsidRDefault="007B62E1" w:rsidP="0098569E">
            <w:pPr>
              <w:spacing w:line="252" w:lineRule="auto"/>
              <w:rPr>
                <w:rFonts w:ascii="Arial" w:hAnsi="Arial" w:cs="Arial"/>
                <w:color w:val="000000"/>
                <w:sz w:val="22"/>
                <w:szCs w:val="22"/>
              </w:rPr>
            </w:pPr>
            <w:r w:rsidRPr="004869F9">
              <w:rPr>
                <w:rFonts w:ascii="Arial" w:hAnsi="Arial" w:cs="Arial"/>
                <w:color w:val="000000"/>
                <w:sz w:val="22"/>
                <w:szCs w:val="22"/>
              </w:rPr>
              <w:t>Internet Sports Betting</w:t>
            </w:r>
          </w:p>
        </w:tc>
        <w:tc>
          <w:tcPr>
            <w:tcW w:w="2528" w:type="dxa"/>
            <w:tcBorders>
              <w:top w:val="nil"/>
              <w:left w:val="nil"/>
              <w:bottom w:val="single" w:sz="8" w:space="0" w:color="auto"/>
              <w:right w:val="single" w:sz="8" w:space="0" w:color="auto"/>
            </w:tcBorders>
            <w:hideMark/>
          </w:tcPr>
          <w:p w14:paraId="3A434164" w14:textId="77777777" w:rsidR="007B62E1" w:rsidRPr="00292C82" w:rsidRDefault="007B62E1" w:rsidP="0098569E">
            <w:pPr>
              <w:spacing w:line="252" w:lineRule="auto"/>
              <w:jc w:val="center"/>
              <w:rPr>
                <w:rFonts w:ascii="Arial" w:hAnsi="Arial" w:cs="Arial"/>
                <w:color w:val="000000"/>
                <w:sz w:val="22"/>
                <w:szCs w:val="22"/>
              </w:rPr>
            </w:pPr>
            <w:r w:rsidRPr="00292C82">
              <w:rPr>
                <w:rFonts w:ascii="Arial" w:hAnsi="Arial" w:cs="Arial"/>
                <w:color w:val="000000"/>
                <w:sz w:val="22"/>
                <w:szCs w:val="22"/>
              </w:rPr>
              <w:t>$ 2.7 million</w:t>
            </w:r>
          </w:p>
        </w:tc>
      </w:tr>
      <w:tr w:rsidR="007B62E1" w14:paraId="3C389DE0" w14:textId="77777777" w:rsidTr="007B62E1">
        <w:trPr>
          <w:trHeight w:val="288"/>
        </w:trPr>
        <w:tc>
          <w:tcPr>
            <w:tcW w:w="15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F5FEDA" w14:textId="77777777" w:rsidR="007B62E1" w:rsidRPr="004869F9" w:rsidRDefault="007B62E1" w:rsidP="0098569E">
            <w:pPr>
              <w:spacing w:line="252" w:lineRule="auto"/>
              <w:jc w:val="center"/>
              <w:rPr>
                <w:rFonts w:ascii="Arial" w:hAnsi="Arial" w:cs="Arial"/>
                <w:b/>
                <w:bCs/>
                <w:color w:val="000000"/>
                <w:sz w:val="22"/>
                <w:szCs w:val="22"/>
              </w:rPr>
            </w:pPr>
            <w:r w:rsidRPr="004869F9">
              <w:rPr>
                <w:rFonts w:ascii="Arial" w:hAnsi="Arial" w:cs="Arial"/>
                <w:b/>
                <w:bCs/>
                <w:color w:val="000000"/>
                <w:sz w:val="22"/>
                <w:szCs w:val="22"/>
              </w:rPr>
              <w:t>1999-2021</w:t>
            </w:r>
          </w:p>
        </w:tc>
        <w:tc>
          <w:tcPr>
            <w:tcW w:w="24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3EF406" w14:textId="77777777" w:rsidR="007B62E1" w:rsidRPr="004869F9" w:rsidRDefault="007B62E1" w:rsidP="0098569E">
            <w:pPr>
              <w:spacing w:line="252" w:lineRule="auto"/>
              <w:rPr>
                <w:rFonts w:ascii="Arial" w:hAnsi="Arial" w:cs="Arial"/>
                <w:b/>
                <w:bCs/>
                <w:color w:val="000000"/>
                <w:sz w:val="22"/>
                <w:szCs w:val="22"/>
              </w:rPr>
            </w:pPr>
            <w:r w:rsidRPr="004869F9">
              <w:rPr>
                <w:rFonts w:ascii="Arial" w:hAnsi="Arial" w:cs="Arial"/>
                <w:b/>
                <w:bCs/>
                <w:color w:val="000000"/>
                <w:sz w:val="22"/>
                <w:szCs w:val="22"/>
              </w:rPr>
              <w:t>Total</w:t>
            </w:r>
          </w:p>
        </w:tc>
        <w:tc>
          <w:tcPr>
            <w:tcW w:w="2528" w:type="dxa"/>
            <w:tcBorders>
              <w:top w:val="nil"/>
              <w:left w:val="nil"/>
              <w:bottom w:val="single" w:sz="8" w:space="0" w:color="auto"/>
              <w:right w:val="single" w:sz="8" w:space="0" w:color="auto"/>
            </w:tcBorders>
            <w:hideMark/>
          </w:tcPr>
          <w:p w14:paraId="5A244359" w14:textId="77777777" w:rsidR="007B62E1" w:rsidRPr="00292C82" w:rsidRDefault="007B62E1" w:rsidP="0098569E">
            <w:pPr>
              <w:spacing w:line="252" w:lineRule="auto"/>
              <w:jc w:val="center"/>
              <w:rPr>
                <w:rFonts w:ascii="Arial" w:hAnsi="Arial" w:cs="Arial"/>
                <w:b/>
                <w:bCs/>
                <w:color w:val="000000"/>
                <w:sz w:val="22"/>
                <w:szCs w:val="22"/>
              </w:rPr>
            </w:pPr>
            <w:r w:rsidRPr="00292C82">
              <w:rPr>
                <w:rFonts w:ascii="Arial" w:hAnsi="Arial" w:cs="Arial"/>
                <w:b/>
                <w:bCs/>
                <w:color w:val="000000"/>
                <w:sz w:val="22"/>
                <w:szCs w:val="22"/>
              </w:rPr>
              <w:t>$ 3.44 billion</w:t>
            </w:r>
          </w:p>
        </w:tc>
      </w:tr>
    </w:tbl>
    <w:p w14:paraId="630D6D78" w14:textId="77777777" w:rsidR="007B62E1" w:rsidRPr="007B62E1" w:rsidRDefault="007B62E1" w:rsidP="007B62E1">
      <w:pPr>
        <w:rPr>
          <w:rFonts w:ascii="Arial" w:hAnsi="Arial" w:cs="Arial"/>
          <w:sz w:val="20"/>
          <w:szCs w:val="20"/>
        </w:rPr>
      </w:pPr>
      <w:r w:rsidRPr="007B62E1">
        <w:rPr>
          <w:rFonts w:ascii="Arial" w:hAnsi="Arial" w:cs="Arial"/>
          <w:sz w:val="20"/>
          <w:szCs w:val="20"/>
        </w:rPr>
        <w:t>(Note: The MGCB has tracked and confirmed taxes since 2012. Taxes for 1999-2011 are estimated.)</w:t>
      </w:r>
    </w:p>
    <w:p w14:paraId="152D7F4B" w14:textId="77777777" w:rsidR="007B62E1" w:rsidRDefault="007B62E1" w:rsidP="007B62E1">
      <w:pPr>
        <w:rPr>
          <w:rFonts w:ascii="Arial" w:hAnsi="Arial" w:cs="Arial"/>
        </w:rPr>
      </w:pPr>
    </w:p>
    <w:p w14:paraId="0D792CE7" w14:textId="77777777" w:rsidR="007B62E1" w:rsidRPr="00F5083E" w:rsidRDefault="007B62E1" w:rsidP="007B62E1">
      <w:pPr>
        <w:rPr>
          <w:rFonts w:ascii="Arial" w:hAnsi="Arial" w:cs="Arial"/>
          <w:b/>
          <w:bCs/>
        </w:rPr>
      </w:pPr>
      <w:r w:rsidRPr="00F5083E">
        <w:rPr>
          <w:rFonts w:ascii="Arial" w:hAnsi="Arial" w:cs="Arial"/>
          <w:b/>
          <w:bCs/>
        </w:rPr>
        <w:t>Behind the scenes work</w:t>
      </w:r>
    </w:p>
    <w:p w14:paraId="7CBC466C" w14:textId="77777777" w:rsidR="007B62E1" w:rsidRDefault="007B62E1" w:rsidP="007B62E1">
      <w:pPr>
        <w:rPr>
          <w:rFonts w:ascii="Arial" w:hAnsi="Arial" w:cs="Arial"/>
        </w:rPr>
      </w:pPr>
      <w:r>
        <w:rPr>
          <w:rFonts w:ascii="Arial" w:hAnsi="Arial" w:cs="Arial"/>
        </w:rPr>
        <w:t>Every year, MGCB employees review applications, conduct investigations and perform many other tasks behind the scenes of legal gaming.</w:t>
      </w:r>
    </w:p>
    <w:p w14:paraId="5DE69964" w14:textId="77777777" w:rsidR="007B62E1" w:rsidRDefault="007B62E1" w:rsidP="007B62E1">
      <w:pPr>
        <w:rPr>
          <w:rFonts w:ascii="Arial" w:hAnsi="Arial" w:cs="Arial"/>
        </w:rPr>
      </w:pPr>
    </w:p>
    <w:p w14:paraId="72976A6A" w14:textId="77777777" w:rsidR="007B62E1" w:rsidRDefault="007B62E1" w:rsidP="007B62E1">
      <w:pPr>
        <w:rPr>
          <w:rFonts w:ascii="Arial" w:hAnsi="Arial" w:cs="Arial"/>
        </w:rPr>
      </w:pPr>
      <w:r>
        <w:rPr>
          <w:rFonts w:ascii="Arial" w:hAnsi="Arial" w:cs="Arial"/>
        </w:rPr>
        <w:t xml:space="preserve">In 2021 alone, the agency licensed or registered 2,021 entities, including 878 related to the commercial casinos and 651 related to internet gaming and sports betting. </w:t>
      </w:r>
    </w:p>
    <w:p w14:paraId="35DA6396" w14:textId="77777777" w:rsidR="007B62E1" w:rsidRDefault="007B62E1" w:rsidP="007B62E1">
      <w:pPr>
        <w:rPr>
          <w:rFonts w:ascii="Arial" w:hAnsi="Arial" w:cs="Arial"/>
        </w:rPr>
      </w:pPr>
    </w:p>
    <w:p w14:paraId="162B4DBB" w14:textId="77777777" w:rsidR="007B62E1" w:rsidRDefault="007B62E1" w:rsidP="007B62E1">
      <w:pPr>
        <w:rPr>
          <w:rFonts w:ascii="Arial" w:hAnsi="Arial" w:cs="Arial"/>
        </w:rPr>
      </w:pPr>
      <w:r>
        <w:rPr>
          <w:rFonts w:ascii="Arial" w:hAnsi="Arial" w:cs="Arial"/>
        </w:rPr>
        <w:t>Investigators conducted:</w:t>
      </w:r>
    </w:p>
    <w:p w14:paraId="1651C96A" w14:textId="00780552" w:rsidR="007B62E1" w:rsidRDefault="007B62E1" w:rsidP="007B62E1">
      <w:pPr>
        <w:pStyle w:val="ListParagraph"/>
        <w:numPr>
          <w:ilvl w:val="0"/>
          <w:numId w:val="12"/>
        </w:numPr>
        <w:spacing w:after="0" w:line="240" w:lineRule="auto"/>
        <w:rPr>
          <w:rFonts w:cs="Arial"/>
          <w:sz w:val="24"/>
          <w:szCs w:val="24"/>
        </w:rPr>
      </w:pPr>
      <w:r w:rsidRPr="00A27E0A">
        <w:rPr>
          <w:rFonts w:cs="Arial"/>
          <w:sz w:val="24"/>
          <w:szCs w:val="24"/>
        </w:rPr>
        <w:t>189 investigations for new or renewed licenses and supplemental licenses, which includes background</w:t>
      </w:r>
      <w:r w:rsidR="00176F2F">
        <w:rPr>
          <w:rFonts w:cs="Arial"/>
          <w:sz w:val="24"/>
          <w:szCs w:val="24"/>
        </w:rPr>
        <w:t xml:space="preserve"> investigation</w:t>
      </w:r>
      <w:r w:rsidRPr="00A27E0A">
        <w:rPr>
          <w:rFonts w:cs="Arial"/>
          <w:sz w:val="24"/>
          <w:szCs w:val="24"/>
        </w:rPr>
        <w:t>s of new key individuals or businesses and transfers of ownership</w:t>
      </w:r>
    </w:p>
    <w:p w14:paraId="5AA8B01D" w14:textId="77777777" w:rsidR="007B62E1" w:rsidRPr="00A27E0A" w:rsidRDefault="007B62E1" w:rsidP="007B62E1">
      <w:pPr>
        <w:pStyle w:val="ListParagraph"/>
        <w:numPr>
          <w:ilvl w:val="0"/>
          <w:numId w:val="12"/>
        </w:numPr>
        <w:spacing w:after="0" w:line="240" w:lineRule="auto"/>
        <w:rPr>
          <w:rFonts w:cs="Arial"/>
          <w:sz w:val="24"/>
          <w:szCs w:val="24"/>
        </w:rPr>
      </w:pPr>
      <w:r>
        <w:rPr>
          <w:rFonts w:cs="Arial"/>
          <w:sz w:val="24"/>
          <w:szCs w:val="24"/>
        </w:rPr>
        <w:lastRenderedPageBreak/>
        <w:t>N</w:t>
      </w:r>
      <w:r w:rsidRPr="00A27E0A">
        <w:rPr>
          <w:rFonts w:cs="Arial"/>
          <w:sz w:val="24"/>
          <w:szCs w:val="24"/>
        </w:rPr>
        <w:t>early 320</w:t>
      </w:r>
      <w:r>
        <w:rPr>
          <w:rFonts w:cs="Arial"/>
          <w:sz w:val="24"/>
          <w:szCs w:val="24"/>
        </w:rPr>
        <w:t xml:space="preserve"> criminal</w:t>
      </w:r>
      <w:r w:rsidRPr="00A27E0A">
        <w:rPr>
          <w:rFonts w:cs="Arial"/>
          <w:sz w:val="24"/>
          <w:szCs w:val="24"/>
        </w:rPr>
        <w:t xml:space="preserve"> investigations, including 240 based on illegal gambling tips received from the public </w:t>
      </w:r>
    </w:p>
    <w:p w14:paraId="147922C0" w14:textId="77777777" w:rsidR="007B62E1" w:rsidRDefault="007B62E1" w:rsidP="007B62E1">
      <w:pPr>
        <w:rPr>
          <w:rFonts w:ascii="Arial" w:hAnsi="Arial" w:cs="Arial"/>
        </w:rPr>
      </w:pPr>
    </w:p>
    <w:p w14:paraId="0636EDE7" w14:textId="749586EF" w:rsidR="007B62E1" w:rsidRDefault="00830158" w:rsidP="007B62E1">
      <w:pPr>
        <w:rPr>
          <w:rFonts w:ascii="Arial" w:hAnsi="Arial" w:cs="Arial"/>
        </w:rPr>
      </w:pPr>
      <w:bookmarkStart w:id="2" w:name="_Hlk108621930"/>
      <w:r>
        <w:rPr>
          <w:rFonts w:ascii="Arial" w:hAnsi="Arial" w:cs="Arial"/>
        </w:rPr>
        <w:t>Since the agency’s inception, t</w:t>
      </w:r>
      <w:r w:rsidR="007B62E1">
        <w:rPr>
          <w:rFonts w:ascii="Arial" w:hAnsi="Arial" w:cs="Arial"/>
        </w:rPr>
        <w:t xml:space="preserve">he Employee Licensing staff </w:t>
      </w:r>
      <w:r>
        <w:rPr>
          <w:rFonts w:ascii="Arial" w:hAnsi="Arial" w:cs="Arial"/>
        </w:rPr>
        <w:t xml:space="preserve">has issued more than 83,000 occupational licenses, including 32,500 initial </w:t>
      </w:r>
      <w:r w:rsidR="004450AE">
        <w:rPr>
          <w:rFonts w:ascii="Arial" w:hAnsi="Arial" w:cs="Arial"/>
        </w:rPr>
        <w:t xml:space="preserve">licenses </w:t>
      </w:r>
      <w:r>
        <w:rPr>
          <w:rFonts w:ascii="Arial" w:hAnsi="Arial" w:cs="Arial"/>
        </w:rPr>
        <w:t>and 50,700</w:t>
      </w:r>
      <w:r w:rsidR="004450AE">
        <w:rPr>
          <w:rFonts w:ascii="Arial" w:hAnsi="Arial" w:cs="Arial"/>
        </w:rPr>
        <w:t xml:space="preserve"> license</w:t>
      </w:r>
      <w:r>
        <w:rPr>
          <w:rFonts w:ascii="Arial" w:hAnsi="Arial" w:cs="Arial"/>
        </w:rPr>
        <w:t xml:space="preserve"> renewals</w:t>
      </w:r>
      <w:r w:rsidR="007B62E1">
        <w:rPr>
          <w:rFonts w:ascii="Arial" w:hAnsi="Arial" w:cs="Arial"/>
        </w:rPr>
        <w:t>.</w:t>
      </w:r>
    </w:p>
    <w:bookmarkEnd w:id="2"/>
    <w:p w14:paraId="04517BB5" w14:textId="77777777" w:rsidR="007B62E1" w:rsidRDefault="007B62E1" w:rsidP="007B62E1">
      <w:pPr>
        <w:rPr>
          <w:rFonts w:ascii="Arial" w:hAnsi="Arial" w:cs="Arial"/>
        </w:rPr>
      </w:pPr>
    </w:p>
    <w:p w14:paraId="4503787D" w14:textId="15019A39" w:rsidR="007B62E1" w:rsidRDefault="007B62E1" w:rsidP="007B62E1">
      <w:pPr>
        <w:rPr>
          <w:rFonts w:ascii="Arial" w:hAnsi="Arial" w:cs="Arial"/>
        </w:rPr>
      </w:pPr>
      <w:r>
        <w:rPr>
          <w:rFonts w:ascii="Arial" w:hAnsi="Arial" w:cs="Arial"/>
        </w:rPr>
        <w:t>The Gaming Lab section accomplished 1,444 gaming product evaluations</w:t>
      </w:r>
      <w:r w:rsidR="00830158">
        <w:rPr>
          <w:rFonts w:ascii="Arial" w:hAnsi="Arial" w:cs="Arial"/>
        </w:rPr>
        <w:t xml:space="preserve"> in 2021</w:t>
      </w:r>
      <w:r>
        <w:rPr>
          <w:rFonts w:ascii="Arial" w:hAnsi="Arial" w:cs="Arial"/>
        </w:rPr>
        <w:t xml:space="preserve">: </w:t>
      </w:r>
    </w:p>
    <w:p w14:paraId="313233EB" w14:textId="77777777" w:rsidR="007B62E1" w:rsidRDefault="007B62E1" w:rsidP="007B62E1">
      <w:pPr>
        <w:pStyle w:val="ListParagraph"/>
        <w:numPr>
          <w:ilvl w:val="0"/>
          <w:numId w:val="10"/>
        </w:numPr>
        <w:spacing w:after="0" w:line="240" w:lineRule="auto"/>
        <w:rPr>
          <w:rFonts w:cs="Arial"/>
          <w:sz w:val="24"/>
          <w:szCs w:val="24"/>
        </w:rPr>
      </w:pPr>
      <w:r>
        <w:rPr>
          <w:rFonts w:cs="Arial"/>
          <w:sz w:val="24"/>
          <w:szCs w:val="24"/>
        </w:rPr>
        <w:t>1,384 for new gaming software</w:t>
      </w:r>
    </w:p>
    <w:p w14:paraId="6DFE9669" w14:textId="77777777" w:rsidR="007B62E1" w:rsidRDefault="007B62E1" w:rsidP="007B62E1">
      <w:pPr>
        <w:pStyle w:val="ListParagraph"/>
        <w:numPr>
          <w:ilvl w:val="0"/>
          <w:numId w:val="10"/>
        </w:numPr>
        <w:spacing w:after="0" w:line="240" w:lineRule="auto"/>
        <w:rPr>
          <w:rFonts w:cs="Arial"/>
          <w:sz w:val="24"/>
          <w:szCs w:val="24"/>
        </w:rPr>
      </w:pPr>
      <w:r>
        <w:rPr>
          <w:rFonts w:cs="Arial"/>
          <w:sz w:val="24"/>
          <w:szCs w:val="24"/>
        </w:rPr>
        <w:t>60 for new gaming hardware</w:t>
      </w:r>
    </w:p>
    <w:p w14:paraId="5ADD2464" w14:textId="77777777" w:rsidR="007B62E1" w:rsidRDefault="007B62E1" w:rsidP="007B62E1">
      <w:pPr>
        <w:rPr>
          <w:rFonts w:ascii="Arial" w:hAnsi="Arial" w:cs="Arial"/>
        </w:rPr>
      </w:pPr>
    </w:p>
    <w:p w14:paraId="70CA000B" w14:textId="77777777" w:rsidR="007B62E1" w:rsidRDefault="007B62E1" w:rsidP="007B62E1">
      <w:pPr>
        <w:rPr>
          <w:rFonts w:ascii="Arial" w:hAnsi="Arial" w:cs="Arial"/>
        </w:rPr>
      </w:pPr>
      <w:r>
        <w:rPr>
          <w:rFonts w:ascii="Arial" w:hAnsi="Arial" w:cs="Arial"/>
        </w:rPr>
        <w:t>The Gaming Lab also completed:</w:t>
      </w:r>
    </w:p>
    <w:p w14:paraId="10709F88" w14:textId="77777777" w:rsidR="007B62E1" w:rsidRDefault="007B62E1" w:rsidP="007B62E1">
      <w:pPr>
        <w:pStyle w:val="ListParagraph"/>
        <w:numPr>
          <w:ilvl w:val="0"/>
          <w:numId w:val="11"/>
        </w:numPr>
        <w:spacing w:after="0" w:line="240" w:lineRule="auto"/>
        <w:rPr>
          <w:rFonts w:cs="Arial"/>
          <w:sz w:val="24"/>
          <w:szCs w:val="24"/>
        </w:rPr>
      </w:pPr>
      <w:r>
        <w:rPr>
          <w:rFonts w:cs="Arial"/>
          <w:sz w:val="24"/>
          <w:szCs w:val="24"/>
        </w:rPr>
        <w:t>259 audits of independent test laboratories’ software certifications with no issues found</w:t>
      </w:r>
    </w:p>
    <w:p w14:paraId="4BA4EFDC" w14:textId="1AADFCD3" w:rsidR="007B62E1" w:rsidRDefault="007B62E1" w:rsidP="007B62E1">
      <w:pPr>
        <w:pStyle w:val="ListParagraph"/>
        <w:numPr>
          <w:ilvl w:val="0"/>
          <w:numId w:val="11"/>
        </w:numPr>
        <w:spacing w:after="0" w:line="240" w:lineRule="auto"/>
        <w:rPr>
          <w:rFonts w:cs="Arial"/>
          <w:sz w:val="24"/>
          <w:szCs w:val="24"/>
        </w:rPr>
      </w:pPr>
      <w:r>
        <w:rPr>
          <w:rFonts w:cs="Arial"/>
          <w:sz w:val="24"/>
          <w:szCs w:val="24"/>
        </w:rPr>
        <w:t xml:space="preserve">1,025 inspections of </w:t>
      </w:r>
      <w:r w:rsidR="00764ECB">
        <w:rPr>
          <w:rFonts w:cs="Arial"/>
          <w:sz w:val="24"/>
          <w:szCs w:val="24"/>
        </w:rPr>
        <w:t xml:space="preserve">slot machine software returning to the gaming floor and </w:t>
      </w:r>
      <w:r>
        <w:rPr>
          <w:rFonts w:cs="Arial"/>
          <w:sz w:val="24"/>
          <w:szCs w:val="24"/>
        </w:rPr>
        <w:t xml:space="preserve">newly installed slot machines at the three Detroit casinos to ensure each </w:t>
      </w:r>
      <w:r w:rsidR="00764ECB">
        <w:rPr>
          <w:rFonts w:cs="Arial"/>
          <w:sz w:val="24"/>
          <w:szCs w:val="24"/>
        </w:rPr>
        <w:t>machine</w:t>
      </w:r>
      <w:r>
        <w:rPr>
          <w:rFonts w:cs="Arial"/>
          <w:sz w:val="24"/>
          <w:szCs w:val="24"/>
        </w:rPr>
        <w:t xml:space="preserve"> </w:t>
      </w:r>
      <w:r w:rsidR="00176F2F">
        <w:rPr>
          <w:rFonts w:cs="Arial"/>
          <w:sz w:val="24"/>
          <w:szCs w:val="24"/>
        </w:rPr>
        <w:t>uses</w:t>
      </w:r>
      <w:r>
        <w:rPr>
          <w:rFonts w:cs="Arial"/>
          <w:sz w:val="24"/>
          <w:szCs w:val="24"/>
        </w:rPr>
        <w:t xml:space="preserve"> approved software</w:t>
      </w:r>
    </w:p>
    <w:p w14:paraId="1192A164" w14:textId="77777777" w:rsidR="007B62E1" w:rsidRDefault="007B62E1" w:rsidP="007B62E1">
      <w:pPr>
        <w:rPr>
          <w:rFonts w:ascii="Arial" w:hAnsi="Arial" w:cs="Arial"/>
        </w:rPr>
      </w:pPr>
    </w:p>
    <w:p w14:paraId="41464455" w14:textId="77777777" w:rsidR="007B62E1" w:rsidRDefault="007B62E1" w:rsidP="007B62E1">
      <w:pPr>
        <w:rPr>
          <w:rFonts w:ascii="Arial" w:hAnsi="Arial" w:cs="Arial"/>
        </w:rPr>
      </w:pPr>
      <w:r>
        <w:rPr>
          <w:rFonts w:ascii="Arial" w:hAnsi="Arial" w:cs="Arial"/>
        </w:rPr>
        <w:t>“The MGCB applies rigorous standards set by Michigan laws and our administrative rules to make sure Michigan residents and visitors enjoy fair gaming whether they visit a Detroit casino or an authorized internet operator,” Williams said. “It’s a big task for a small agency, but we have a reputation of getting things done.”</w:t>
      </w:r>
    </w:p>
    <w:p w14:paraId="3FB843E6" w14:textId="77777777" w:rsidR="007B62E1" w:rsidRDefault="007B62E1" w:rsidP="007B62E1">
      <w:pPr>
        <w:rPr>
          <w:rFonts w:ascii="Arial" w:hAnsi="Arial" w:cs="Arial"/>
        </w:rPr>
      </w:pPr>
    </w:p>
    <w:p w14:paraId="1B11B249" w14:textId="77777777" w:rsidR="007B62E1" w:rsidRPr="005A038F" w:rsidRDefault="007B62E1" w:rsidP="007B62E1">
      <w:pPr>
        <w:rPr>
          <w:rFonts w:ascii="Arial" w:hAnsi="Arial" w:cs="Arial"/>
          <w:b/>
          <w:bCs/>
        </w:rPr>
      </w:pPr>
      <w:r w:rsidRPr="005A038F">
        <w:rPr>
          <w:rFonts w:ascii="Arial" w:hAnsi="Arial" w:cs="Arial"/>
          <w:b/>
          <w:bCs/>
        </w:rPr>
        <w:t>Responsible Gaming</w:t>
      </w:r>
    </w:p>
    <w:p w14:paraId="10F16B4C" w14:textId="77777777" w:rsidR="007B62E1" w:rsidRDefault="007B62E1" w:rsidP="007B62E1">
      <w:pPr>
        <w:rPr>
          <w:rFonts w:ascii="Arial" w:hAnsi="Arial" w:cs="Arial"/>
        </w:rPr>
      </w:pPr>
      <w:r>
        <w:rPr>
          <w:rFonts w:ascii="Arial" w:hAnsi="Arial" w:cs="Arial"/>
        </w:rPr>
        <w:t xml:space="preserve">The MGCB maintains two </w:t>
      </w:r>
      <w:hyperlink r:id="rId9" w:history="1">
        <w:r w:rsidRPr="00E82592">
          <w:rPr>
            <w:rStyle w:val="Hyperlink"/>
            <w:rFonts w:ascii="Arial" w:hAnsi="Arial" w:cs="Arial"/>
          </w:rPr>
          <w:t>self-exclusion programs</w:t>
        </w:r>
      </w:hyperlink>
      <w:r>
        <w:rPr>
          <w:rFonts w:ascii="Arial" w:hAnsi="Arial" w:cs="Arial"/>
        </w:rPr>
        <w:t xml:space="preserve"> for problem gamblers: the Disassociated Persons List and the Internet Gaming and Sports Betting Responsible Gaming Database. Members of the public can ban themselves from the Detroit casinos with the option to choose to remain on the Disassociated Persons List or opt out after five years. The Internet Gaming and Sports Betting database can be joined for one or both forms of gaming </w:t>
      </w:r>
      <w:r w:rsidRPr="005767CD">
        <w:rPr>
          <w:rFonts w:ascii="Arial" w:hAnsi="Arial" w:cs="Arial"/>
        </w:rPr>
        <w:t>—</w:t>
      </w:r>
      <w:r>
        <w:rPr>
          <w:rFonts w:ascii="Arial" w:hAnsi="Arial" w:cs="Arial"/>
        </w:rPr>
        <w:t xml:space="preserve"> a ban from all Michigan-authorized operators </w:t>
      </w:r>
      <w:r w:rsidRPr="005767CD">
        <w:rPr>
          <w:rFonts w:ascii="Arial" w:hAnsi="Arial" w:cs="Arial"/>
        </w:rPr>
        <w:t>—</w:t>
      </w:r>
      <w:r>
        <w:rPr>
          <w:rFonts w:ascii="Arial" w:hAnsi="Arial" w:cs="Arial"/>
        </w:rPr>
        <w:t xml:space="preserve"> for one or five years.</w:t>
      </w:r>
    </w:p>
    <w:p w14:paraId="18ADEEBF" w14:textId="77777777" w:rsidR="007B62E1" w:rsidRDefault="007B62E1" w:rsidP="007B62E1">
      <w:pPr>
        <w:rPr>
          <w:rFonts w:ascii="Arial" w:hAnsi="Arial" w:cs="Arial"/>
        </w:rPr>
      </w:pPr>
    </w:p>
    <w:p w14:paraId="63ACC856" w14:textId="26E9E093" w:rsidR="007B62E1" w:rsidRDefault="007B62E1" w:rsidP="007B62E1">
      <w:pPr>
        <w:rPr>
          <w:rFonts w:ascii="Arial" w:hAnsi="Arial" w:cs="Arial"/>
        </w:rPr>
      </w:pPr>
      <w:r>
        <w:rPr>
          <w:rFonts w:ascii="Arial" w:hAnsi="Arial" w:cs="Arial"/>
        </w:rPr>
        <w:t>As of Ju</w:t>
      </w:r>
      <w:r w:rsidR="00FA58B3">
        <w:rPr>
          <w:rFonts w:ascii="Arial" w:hAnsi="Arial" w:cs="Arial"/>
        </w:rPr>
        <w:t>ly</w:t>
      </w:r>
      <w:r>
        <w:rPr>
          <w:rFonts w:ascii="Arial" w:hAnsi="Arial" w:cs="Arial"/>
        </w:rPr>
        <w:t xml:space="preserve"> 2, </w:t>
      </w:r>
      <w:r w:rsidR="00764ECB">
        <w:rPr>
          <w:rFonts w:ascii="Arial" w:hAnsi="Arial" w:cs="Arial"/>
        </w:rPr>
        <w:t xml:space="preserve">2022, </w:t>
      </w:r>
      <w:r>
        <w:rPr>
          <w:rFonts w:ascii="Arial" w:hAnsi="Arial" w:cs="Arial"/>
        </w:rPr>
        <w:t>the agency had processed 4,1</w:t>
      </w:r>
      <w:r w:rsidR="00FA58B3">
        <w:rPr>
          <w:rFonts w:ascii="Arial" w:hAnsi="Arial" w:cs="Arial"/>
        </w:rPr>
        <w:t>39</w:t>
      </w:r>
      <w:r>
        <w:rPr>
          <w:rFonts w:ascii="Arial" w:hAnsi="Arial" w:cs="Arial"/>
        </w:rPr>
        <w:t xml:space="preserve"> applications for the Disassociated Persons List, including 147 </w:t>
      </w:r>
      <w:r w:rsidR="00835768">
        <w:rPr>
          <w:rFonts w:ascii="Arial" w:hAnsi="Arial" w:cs="Arial"/>
        </w:rPr>
        <w:t xml:space="preserve">applicants </w:t>
      </w:r>
      <w:r>
        <w:rPr>
          <w:rFonts w:ascii="Arial" w:hAnsi="Arial" w:cs="Arial"/>
        </w:rPr>
        <w:t>processed in 2021</w:t>
      </w:r>
      <w:r w:rsidR="00FA58B3">
        <w:rPr>
          <w:rFonts w:ascii="Arial" w:hAnsi="Arial" w:cs="Arial"/>
        </w:rPr>
        <w:t xml:space="preserve"> and 108 applicants processed through June 2022</w:t>
      </w:r>
      <w:r>
        <w:rPr>
          <w:rFonts w:ascii="Arial" w:hAnsi="Arial" w:cs="Arial"/>
        </w:rPr>
        <w:t>. The agency ha</w:t>
      </w:r>
      <w:r w:rsidR="006B2C10">
        <w:rPr>
          <w:rFonts w:ascii="Arial" w:hAnsi="Arial" w:cs="Arial"/>
        </w:rPr>
        <w:t>d</w:t>
      </w:r>
      <w:r>
        <w:rPr>
          <w:rFonts w:ascii="Arial" w:hAnsi="Arial" w:cs="Arial"/>
        </w:rPr>
        <w:t xml:space="preserve"> received 203 applications for the responsible gaming database as of May 23</w:t>
      </w:r>
      <w:r w:rsidR="00764ECB">
        <w:rPr>
          <w:rFonts w:ascii="Arial" w:hAnsi="Arial" w:cs="Arial"/>
        </w:rPr>
        <w:t>, 2022</w:t>
      </w:r>
      <w:r>
        <w:rPr>
          <w:rFonts w:ascii="Arial" w:hAnsi="Arial" w:cs="Arial"/>
        </w:rPr>
        <w:t xml:space="preserve">. At that time, 165 participants were placed on the internet gaming list and 154 on the internet sports betting list with five applications pending. The public may contact the MGCB at 1-888-223-3044 for more information about self-exclusion options and application information. </w:t>
      </w:r>
    </w:p>
    <w:p w14:paraId="768E78DC" w14:textId="77777777" w:rsidR="007B62E1" w:rsidRDefault="007B62E1" w:rsidP="007B62E1">
      <w:pPr>
        <w:rPr>
          <w:rFonts w:ascii="Arial" w:hAnsi="Arial" w:cs="Arial"/>
        </w:rPr>
      </w:pPr>
    </w:p>
    <w:p w14:paraId="67F17CAC" w14:textId="77777777" w:rsidR="00345C74" w:rsidRPr="0051102D" w:rsidRDefault="00345C74" w:rsidP="00345C74">
      <w:pPr>
        <w:rPr>
          <w:rFonts w:ascii="Arial" w:hAnsi="Arial" w:cs="Arial"/>
          <w:sz w:val="16"/>
          <w:szCs w:val="16"/>
        </w:rPr>
      </w:pPr>
    </w:p>
    <w:p w14:paraId="07AFB230" w14:textId="77777777" w:rsidR="0051102D" w:rsidRDefault="00345C74" w:rsidP="0051102D">
      <w:pPr>
        <w:rPr>
          <w:rStyle w:val="Emphasis"/>
          <w:rFonts w:ascii="Arial" w:hAnsi="Arial" w:cs="Arial"/>
          <w:color w:val="333333"/>
          <w:sz w:val="16"/>
          <w:szCs w:val="16"/>
          <w:lang w:val="en"/>
        </w:rPr>
      </w:pPr>
      <w:r w:rsidRPr="0051102D">
        <w:rPr>
          <w:color w:val="333333"/>
          <w:sz w:val="16"/>
          <w:szCs w:val="16"/>
          <w:lang w:val="en"/>
        </w:rPr>
        <w:t>"</w:t>
      </w:r>
      <w:r w:rsidRPr="0051102D">
        <w:rPr>
          <w:rStyle w:val="Emphasis"/>
          <w:rFonts w:ascii="Arial" w:hAnsi="Arial" w:cs="Arial"/>
          <w:color w:val="333333"/>
          <w:sz w:val="16"/>
          <w:szCs w:val="16"/>
          <w:lang w:val="en"/>
        </w:rPr>
        <w:t>The Michigan Gaming Control Board shall ensure the conduct of fair and honest gaming to protect the interests of the citizens of the State of Michigan."</w:t>
      </w:r>
    </w:p>
    <w:p w14:paraId="3F0713FF" w14:textId="752AD80F" w:rsidR="0031474A" w:rsidRPr="0051102D" w:rsidRDefault="0031474A" w:rsidP="0051102D">
      <w:pPr>
        <w:jc w:val="center"/>
        <w:rPr>
          <w:rFonts w:ascii="Arial" w:eastAsia="Calibri" w:hAnsi="Arial" w:cs="Arial"/>
          <w:sz w:val="16"/>
          <w:szCs w:val="16"/>
        </w:rPr>
      </w:pPr>
      <w:r w:rsidRPr="0051102D">
        <w:rPr>
          <w:rFonts w:ascii="Arial" w:eastAsia="Calibri" w:hAnsi="Arial" w:cs="Arial"/>
          <w:sz w:val="16"/>
          <w:szCs w:val="16"/>
        </w:rPr>
        <w:t>####</w:t>
      </w:r>
    </w:p>
    <w:sectPr w:rsidR="0031474A" w:rsidRPr="0051102D" w:rsidSect="00966852">
      <w:pgSz w:w="12240" w:h="15840" w:code="1"/>
      <w:pgMar w:top="720" w:right="1440" w:bottom="994" w:left="1800" w:header="288" w:footer="288"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3463C" w14:textId="77777777" w:rsidR="00AD2DCF" w:rsidRDefault="00AD2DCF">
      <w:r>
        <w:separator/>
      </w:r>
    </w:p>
  </w:endnote>
  <w:endnote w:type="continuationSeparator" w:id="0">
    <w:p w14:paraId="5F2F48A5" w14:textId="77777777" w:rsidR="00AD2DCF" w:rsidRDefault="00AD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4C9F1" w14:textId="77777777" w:rsidR="00AD2DCF" w:rsidRDefault="00AD2DCF">
      <w:r>
        <w:separator/>
      </w:r>
    </w:p>
  </w:footnote>
  <w:footnote w:type="continuationSeparator" w:id="0">
    <w:p w14:paraId="2AAC04F0" w14:textId="77777777" w:rsidR="00AD2DCF" w:rsidRDefault="00AD2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292"/>
    <w:multiLevelType w:val="hybridMultilevel"/>
    <w:tmpl w:val="128E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6F41"/>
    <w:multiLevelType w:val="hybridMultilevel"/>
    <w:tmpl w:val="A80A0DD2"/>
    <w:lvl w:ilvl="0" w:tplc="311A128C">
      <w:start w:val="1"/>
      <w:numFmt w:val="bullet"/>
      <w:lvlText w:val=""/>
      <w:lvlJc w:val="left"/>
      <w:pPr>
        <w:tabs>
          <w:tab w:val="num" w:pos="3078"/>
        </w:tabs>
        <w:ind w:left="3078" w:hanging="360"/>
      </w:pPr>
      <w:rPr>
        <w:rFonts w:ascii="Symbol" w:hAnsi="Symbol" w:hint="default"/>
        <w:color w:val="000000"/>
      </w:rPr>
    </w:lvl>
    <w:lvl w:ilvl="1" w:tplc="04090003" w:tentative="1">
      <w:start w:val="1"/>
      <w:numFmt w:val="bullet"/>
      <w:lvlText w:val="o"/>
      <w:lvlJc w:val="left"/>
      <w:pPr>
        <w:tabs>
          <w:tab w:val="num" w:pos="1518"/>
        </w:tabs>
        <w:ind w:left="1518" w:hanging="360"/>
      </w:pPr>
      <w:rPr>
        <w:rFonts w:ascii="Courier New" w:hAnsi="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2" w15:restartNumberingAfterBreak="0">
    <w:nsid w:val="18F071D6"/>
    <w:multiLevelType w:val="hybridMultilevel"/>
    <w:tmpl w:val="C56EAB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12182A"/>
    <w:multiLevelType w:val="hybridMultilevel"/>
    <w:tmpl w:val="C56EAB2C"/>
    <w:lvl w:ilvl="0" w:tplc="311A128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7B54BF"/>
    <w:multiLevelType w:val="hybridMultilevel"/>
    <w:tmpl w:val="F3B4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76769"/>
    <w:multiLevelType w:val="hybridMultilevel"/>
    <w:tmpl w:val="DDE2D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431520"/>
    <w:multiLevelType w:val="hybridMultilevel"/>
    <w:tmpl w:val="4AC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E7477"/>
    <w:multiLevelType w:val="hybridMultilevel"/>
    <w:tmpl w:val="E326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1B5A8F"/>
    <w:multiLevelType w:val="hybridMultilevel"/>
    <w:tmpl w:val="0DAE4A44"/>
    <w:lvl w:ilvl="0" w:tplc="8D849DB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CA6984"/>
    <w:multiLevelType w:val="hybridMultilevel"/>
    <w:tmpl w:val="F438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20948"/>
    <w:multiLevelType w:val="hybridMultilevel"/>
    <w:tmpl w:val="70C6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D774E"/>
    <w:multiLevelType w:val="hybridMultilevel"/>
    <w:tmpl w:val="7FCC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8657463">
    <w:abstractNumId w:val="2"/>
  </w:num>
  <w:num w:numId="2" w16cid:durableId="1211649782">
    <w:abstractNumId w:val="3"/>
  </w:num>
  <w:num w:numId="3" w16cid:durableId="1783452269">
    <w:abstractNumId w:val="1"/>
  </w:num>
  <w:num w:numId="4" w16cid:durableId="1666206260">
    <w:abstractNumId w:val="8"/>
  </w:num>
  <w:num w:numId="5" w16cid:durableId="911547694">
    <w:abstractNumId w:val="5"/>
  </w:num>
  <w:num w:numId="6" w16cid:durableId="1441988655">
    <w:abstractNumId w:val="6"/>
  </w:num>
  <w:num w:numId="7" w16cid:durableId="769744419">
    <w:abstractNumId w:val="9"/>
  </w:num>
  <w:num w:numId="8" w16cid:durableId="151802632">
    <w:abstractNumId w:val="7"/>
  </w:num>
  <w:num w:numId="9" w16cid:durableId="499544630">
    <w:abstractNumId w:val="0"/>
  </w:num>
  <w:num w:numId="10" w16cid:durableId="964191450">
    <w:abstractNumId w:val="4"/>
  </w:num>
  <w:num w:numId="11" w16cid:durableId="1968461853">
    <w:abstractNumId w:val="10"/>
  </w:num>
  <w:num w:numId="12" w16cid:durableId="19787960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D8"/>
    <w:rsid w:val="00035E72"/>
    <w:rsid w:val="00037725"/>
    <w:rsid w:val="00037D1E"/>
    <w:rsid w:val="00043E27"/>
    <w:rsid w:val="0006018C"/>
    <w:rsid w:val="000657D2"/>
    <w:rsid w:val="0007415A"/>
    <w:rsid w:val="000904B6"/>
    <w:rsid w:val="00091870"/>
    <w:rsid w:val="00097CE1"/>
    <w:rsid w:val="000A2A94"/>
    <w:rsid w:val="000A70CB"/>
    <w:rsid w:val="000B194B"/>
    <w:rsid w:val="000B5B66"/>
    <w:rsid w:val="000C08D8"/>
    <w:rsid w:val="000C39A3"/>
    <w:rsid w:val="000E4135"/>
    <w:rsid w:val="000E4EE9"/>
    <w:rsid w:val="000F1832"/>
    <w:rsid w:val="000F25E0"/>
    <w:rsid w:val="001043ED"/>
    <w:rsid w:val="0010579D"/>
    <w:rsid w:val="00123D20"/>
    <w:rsid w:val="00125DAA"/>
    <w:rsid w:val="00134833"/>
    <w:rsid w:val="00137256"/>
    <w:rsid w:val="00150EA5"/>
    <w:rsid w:val="001541B3"/>
    <w:rsid w:val="00160198"/>
    <w:rsid w:val="00164F0F"/>
    <w:rsid w:val="00176957"/>
    <w:rsid w:val="00176F2F"/>
    <w:rsid w:val="00177AB2"/>
    <w:rsid w:val="00186419"/>
    <w:rsid w:val="00196FFE"/>
    <w:rsid w:val="001B7774"/>
    <w:rsid w:val="001D38BE"/>
    <w:rsid w:val="001F1F73"/>
    <w:rsid w:val="00200EE6"/>
    <w:rsid w:val="00202BD1"/>
    <w:rsid w:val="002164BB"/>
    <w:rsid w:val="00231171"/>
    <w:rsid w:val="00266369"/>
    <w:rsid w:val="00267877"/>
    <w:rsid w:val="00280D28"/>
    <w:rsid w:val="002901F8"/>
    <w:rsid w:val="002C7198"/>
    <w:rsid w:val="002D214E"/>
    <w:rsid w:val="002D745A"/>
    <w:rsid w:val="002E73D0"/>
    <w:rsid w:val="002F4FC6"/>
    <w:rsid w:val="002F50BF"/>
    <w:rsid w:val="002F53A8"/>
    <w:rsid w:val="00302E6E"/>
    <w:rsid w:val="003057BF"/>
    <w:rsid w:val="0031474A"/>
    <w:rsid w:val="00322E79"/>
    <w:rsid w:val="00325554"/>
    <w:rsid w:val="00345C74"/>
    <w:rsid w:val="00356E90"/>
    <w:rsid w:val="00362093"/>
    <w:rsid w:val="003826A4"/>
    <w:rsid w:val="00382D2D"/>
    <w:rsid w:val="003B2AC6"/>
    <w:rsid w:val="003B3A36"/>
    <w:rsid w:val="003C5F29"/>
    <w:rsid w:val="003E239D"/>
    <w:rsid w:val="003F4455"/>
    <w:rsid w:val="0040761D"/>
    <w:rsid w:val="00432433"/>
    <w:rsid w:val="0043685B"/>
    <w:rsid w:val="004450AE"/>
    <w:rsid w:val="00483B2F"/>
    <w:rsid w:val="004A5E4C"/>
    <w:rsid w:val="004C4EC2"/>
    <w:rsid w:val="004D58F7"/>
    <w:rsid w:val="004F00A0"/>
    <w:rsid w:val="0051102D"/>
    <w:rsid w:val="0051294F"/>
    <w:rsid w:val="005323F4"/>
    <w:rsid w:val="0056091F"/>
    <w:rsid w:val="00576948"/>
    <w:rsid w:val="005810E3"/>
    <w:rsid w:val="005867F6"/>
    <w:rsid w:val="0059519D"/>
    <w:rsid w:val="005A3319"/>
    <w:rsid w:val="005C4D56"/>
    <w:rsid w:val="005D467C"/>
    <w:rsid w:val="005E597F"/>
    <w:rsid w:val="005E5F60"/>
    <w:rsid w:val="005F181E"/>
    <w:rsid w:val="005F473C"/>
    <w:rsid w:val="00611517"/>
    <w:rsid w:val="006123C4"/>
    <w:rsid w:val="00615F7A"/>
    <w:rsid w:val="00643932"/>
    <w:rsid w:val="00647E03"/>
    <w:rsid w:val="00651BB5"/>
    <w:rsid w:val="00652BF0"/>
    <w:rsid w:val="006626DE"/>
    <w:rsid w:val="00664F91"/>
    <w:rsid w:val="00683645"/>
    <w:rsid w:val="006A7BD8"/>
    <w:rsid w:val="006B2C10"/>
    <w:rsid w:val="006B48F2"/>
    <w:rsid w:val="006B6F0E"/>
    <w:rsid w:val="006D5C9E"/>
    <w:rsid w:val="006D6401"/>
    <w:rsid w:val="006E3941"/>
    <w:rsid w:val="00713CC7"/>
    <w:rsid w:val="007160F6"/>
    <w:rsid w:val="00716ED8"/>
    <w:rsid w:val="00730A0A"/>
    <w:rsid w:val="0074376E"/>
    <w:rsid w:val="00763690"/>
    <w:rsid w:val="00764B43"/>
    <w:rsid w:val="00764ECB"/>
    <w:rsid w:val="00772E7E"/>
    <w:rsid w:val="007779A3"/>
    <w:rsid w:val="00780C82"/>
    <w:rsid w:val="00783A60"/>
    <w:rsid w:val="00790432"/>
    <w:rsid w:val="007B62E1"/>
    <w:rsid w:val="007D1C56"/>
    <w:rsid w:val="007E1545"/>
    <w:rsid w:val="007F2C80"/>
    <w:rsid w:val="007F47B0"/>
    <w:rsid w:val="007F5418"/>
    <w:rsid w:val="00804693"/>
    <w:rsid w:val="008116E1"/>
    <w:rsid w:val="008170B7"/>
    <w:rsid w:val="008206E8"/>
    <w:rsid w:val="00830158"/>
    <w:rsid w:val="00835768"/>
    <w:rsid w:val="008410C2"/>
    <w:rsid w:val="00854E9D"/>
    <w:rsid w:val="00857A92"/>
    <w:rsid w:val="008633DE"/>
    <w:rsid w:val="008A14CA"/>
    <w:rsid w:val="008C6B8B"/>
    <w:rsid w:val="008D6714"/>
    <w:rsid w:val="008E6C63"/>
    <w:rsid w:val="008E7382"/>
    <w:rsid w:val="00914303"/>
    <w:rsid w:val="00930430"/>
    <w:rsid w:val="009373B9"/>
    <w:rsid w:val="00944AEA"/>
    <w:rsid w:val="00966852"/>
    <w:rsid w:val="00970643"/>
    <w:rsid w:val="009745D8"/>
    <w:rsid w:val="00983E3B"/>
    <w:rsid w:val="00987986"/>
    <w:rsid w:val="009909B0"/>
    <w:rsid w:val="00991081"/>
    <w:rsid w:val="009A2604"/>
    <w:rsid w:val="009C4E5B"/>
    <w:rsid w:val="009C7A47"/>
    <w:rsid w:val="009E390D"/>
    <w:rsid w:val="009E4529"/>
    <w:rsid w:val="00A056A9"/>
    <w:rsid w:val="00A26FB6"/>
    <w:rsid w:val="00A41C53"/>
    <w:rsid w:val="00A45E57"/>
    <w:rsid w:val="00A559BD"/>
    <w:rsid w:val="00A76EA6"/>
    <w:rsid w:val="00AA356F"/>
    <w:rsid w:val="00AB50FF"/>
    <w:rsid w:val="00AD2DCF"/>
    <w:rsid w:val="00AD6F7A"/>
    <w:rsid w:val="00AE0251"/>
    <w:rsid w:val="00AE199B"/>
    <w:rsid w:val="00AE30DD"/>
    <w:rsid w:val="00B00A5D"/>
    <w:rsid w:val="00B040C4"/>
    <w:rsid w:val="00B174AE"/>
    <w:rsid w:val="00B235F8"/>
    <w:rsid w:val="00B25585"/>
    <w:rsid w:val="00B6561B"/>
    <w:rsid w:val="00B8224B"/>
    <w:rsid w:val="00B86CD2"/>
    <w:rsid w:val="00BB1039"/>
    <w:rsid w:val="00BB4CA4"/>
    <w:rsid w:val="00BC0787"/>
    <w:rsid w:val="00BC75DD"/>
    <w:rsid w:val="00BD2930"/>
    <w:rsid w:val="00BF0F9E"/>
    <w:rsid w:val="00BF0FF5"/>
    <w:rsid w:val="00BF2368"/>
    <w:rsid w:val="00C10F64"/>
    <w:rsid w:val="00C12EA3"/>
    <w:rsid w:val="00C24ECF"/>
    <w:rsid w:val="00C574E9"/>
    <w:rsid w:val="00C63A6A"/>
    <w:rsid w:val="00C67DC7"/>
    <w:rsid w:val="00C751B2"/>
    <w:rsid w:val="00C92BD4"/>
    <w:rsid w:val="00CC0E8B"/>
    <w:rsid w:val="00CC44D2"/>
    <w:rsid w:val="00CE4165"/>
    <w:rsid w:val="00CE74F3"/>
    <w:rsid w:val="00D0524A"/>
    <w:rsid w:val="00D116C0"/>
    <w:rsid w:val="00D303A8"/>
    <w:rsid w:val="00D3095C"/>
    <w:rsid w:val="00D47EAD"/>
    <w:rsid w:val="00D57A5E"/>
    <w:rsid w:val="00D75340"/>
    <w:rsid w:val="00D77C83"/>
    <w:rsid w:val="00D820E8"/>
    <w:rsid w:val="00D8529A"/>
    <w:rsid w:val="00DB0E29"/>
    <w:rsid w:val="00DC4F1E"/>
    <w:rsid w:val="00E21582"/>
    <w:rsid w:val="00E228C6"/>
    <w:rsid w:val="00E45ED4"/>
    <w:rsid w:val="00E53C49"/>
    <w:rsid w:val="00E65718"/>
    <w:rsid w:val="00E75755"/>
    <w:rsid w:val="00E90FE3"/>
    <w:rsid w:val="00E9539F"/>
    <w:rsid w:val="00EB0339"/>
    <w:rsid w:val="00EB36ED"/>
    <w:rsid w:val="00EB5124"/>
    <w:rsid w:val="00EC47D5"/>
    <w:rsid w:val="00ED5584"/>
    <w:rsid w:val="00EF32BC"/>
    <w:rsid w:val="00F115CC"/>
    <w:rsid w:val="00F40E01"/>
    <w:rsid w:val="00F442A5"/>
    <w:rsid w:val="00F76105"/>
    <w:rsid w:val="00F82087"/>
    <w:rsid w:val="00F86130"/>
    <w:rsid w:val="00F95395"/>
    <w:rsid w:val="00FA58B3"/>
    <w:rsid w:val="00FB3743"/>
    <w:rsid w:val="00FC5B6F"/>
    <w:rsid w:val="00FC7072"/>
    <w:rsid w:val="00FE457F"/>
    <w:rsid w:val="00FF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33561"/>
  <w15:chartTrackingRefBased/>
  <w15:docId w15:val="{E712FC09-DA98-4CAE-ADC8-67C97B62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sz w:val="36"/>
    </w:rPr>
  </w:style>
  <w:style w:type="paragraph" w:styleId="Heading2">
    <w:name w:val="heading 2"/>
    <w:basedOn w:val="Normal"/>
    <w:next w:val="Normal"/>
    <w:qFormat/>
    <w:pPr>
      <w:keepNext/>
      <w:framePr w:hSpace="180" w:wrap="around" w:vAnchor="page" w:hAnchor="margin" w:y="2733"/>
      <w:outlineLvl w:val="1"/>
    </w:pPr>
    <w:rPr>
      <w:rFonts w:ascii="Arial" w:hAnsi="Arial" w:cs="Arial"/>
      <w:sz w:val="96"/>
    </w:rPr>
  </w:style>
  <w:style w:type="paragraph" w:styleId="Heading3">
    <w:name w:val="heading 3"/>
    <w:basedOn w:val="Normal"/>
    <w:next w:val="Normal"/>
    <w:qFormat/>
    <w:pPr>
      <w:keepNext/>
      <w:jc w:val="center"/>
      <w:outlineLvl w:val="2"/>
    </w:pPr>
    <w:rPr>
      <w:rFonts w:ascii="Verdana" w:hAnsi="Verdana"/>
      <w:sz w:val="48"/>
    </w:rPr>
  </w:style>
  <w:style w:type="paragraph" w:styleId="Heading4">
    <w:name w:val="heading 4"/>
    <w:basedOn w:val="Normal"/>
    <w:next w:val="Normal"/>
    <w:qFormat/>
    <w:pPr>
      <w:keepNext/>
      <w:jc w:val="center"/>
      <w:outlineLvl w:val="3"/>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ind w:left="360"/>
    </w:pPr>
    <w:rPr>
      <w:sz w:val="28"/>
      <w:szCs w:val="20"/>
    </w:rPr>
  </w:style>
  <w:style w:type="paragraph" w:styleId="BodyTextIndent2">
    <w:name w:val="Body Text Indent 2"/>
    <w:basedOn w:val="Normal"/>
    <w:pPr>
      <w:ind w:left="360"/>
    </w:pPr>
    <w:rPr>
      <w:b/>
      <w:bCs/>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Verdana" w:hAnsi="Verdana"/>
    </w:rPr>
  </w:style>
  <w:style w:type="paragraph" w:styleId="BalloonText">
    <w:name w:val="Balloon Text"/>
    <w:basedOn w:val="Normal"/>
    <w:semiHidden/>
    <w:rsid w:val="00356E90"/>
    <w:rPr>
      <w:rFonts w:ascii="Tahoma" w:hAnsi="Tahoma" w:cs="Tahoma"/>
      <w:sz w:val="16"/>
      <w:szCs w:val="16"/>
    </w:rPr>
  </w:style>
  <w:style w:type="paragraph" w:styleId="BodyText2">
    <w:name w:val="Body Text 2"/>
    <w:basedOn w:val="Normal"/>
    <w:rsid w:val="00177AB2"/>
    <w:rPr>
      <w:rFonts w:ascii="Verdana" w:hAnsi="Verdana"/>
      <w:b/>
      <w:bCs/>
      <w:color w:val="000000"/>
      <w:spacing w:val="-20"/>
      <w:sz w:val="28"/>
      <w:szCs w:val="28"/>
    </w:rPr>
  </w:style>
  <w:style w:type="paragraph" w:styleId="PlainText">
    <w:name w:val="Plain Text"/>
    <w:basedOn w:val="Normal"/>
    <w:link w:val="PlainTextChar"/>
    <w:uiPriority w:val="99"/>
    <w:unhideWhenUsed/>
    <w:rsid w:val="00944AEA"/>
    <w:rPr>
      <w:rFonts w:ascii="Consolas" w:eastAsia="Calibri" w:hAnsi="Consolas"/>
      <w:sz w:val="21"/>
      <w:szCs w:val="21"/>
    </w:rPr>
  </w:style>
  <w:style w:type="character" w:customStyle="1" w:styleId="PlainTextChar">
    <w:name w:val="Plain Text Char"/>
    <w:link w:val="PlainText"/>
    <w:uiPriority w:val="99"/>
    <w:rsid w:val="00944AEA"/>
    <w:rPr>
      <w:rFonts w:ascii="Consolas" w:eastAsia="Calibri" w:hAnsi="Consolas" w:cs="Times New Roman"/>
      <w:sz w:val="21"/>
      <w:szCs w:val="21"/>
    </w:rPr>
  </w:style>
  <w:style w:type="paragraph" w:styleId="ListParagraph">
    <w:name w:val="List Paragraph"/>
    <w:basedOn w:val="Normal"/>
    <w:uiPriority w:val="34"/>
    <w:qFormat/>
    <w:rsid w:val="00345C74"/>
    <w:pPr>
      <w:spacing w:after="120" w:line="360" w:lineRule="auto"/>
      <w:ind w:left="720"/>
      <w:contextualSpacing/>
    </w:pPr>
    <w:rPr>
      <w:rFonts w:ascii="Arial" w:hAnsi="Arial"/>
      <w:sz w:val="22"/>
      <w:szCs w:val="20"/>
    </w:rPr>
  </w:style>
  <w:style w:type="character" w:styleId="Emphasis">
    <w:name w:val="Emphasis"/>
    <w:uiPriority w:val="20"/>
    <w:qFormat/>
    <w:rsid w:val="00345C74"/>
    <w:rPr>
      <w:i/>
      <w:iCs/>
    </w:rPr>
  </w:style>
  <w:style w:type="character" w:styleId="CommentReference">
    <w:name w:val="annotation reference"/>
    <w:basedOn w:val="DefaultParagraphFont"/>
    <w:rsid w:val="00764ECB"/>
    <w:rPr>
      <w:sz w:val="16"/>
      <w:szCs w:val="16"/>
    </w:rPr>
  </w:style>
  <w:style w:type="paragraph" w:styleId="CommentText">
    <w:name w:val="annotation text"/>
    <w:basedOn w:val="Normal"/>
    <w:link w:val="CommentTextChar"/>
    <w:rsid w:val="00764ECB"/>
    <w:rPr>
      <w:sz w:val="20"/>
      <w:szCs w:val="20"/>
    </w:rPr>
  </w:style>
  <w:style w:type="character" w:customStyle="1" w:styleId="CommentTextChar">
    <w:name w:val="Comment Text Char"/>
    <w:basedOn w:val="DefaultParagraphFont"/>
    <w:link w:val="CommentText"/>
    <w:rsid w:val="00764ECB"/>
  </w:style>
  <w:style w:type="paragraph" w:styleId="CommentSubject">
    <w:name w:val="annotation subject"/>
    <w:basedOn w:val="CommentText"/>
    <w:next w:val="CommentText"/>
    <w:link w:val="CommentSubjectChar"/>
    <w:rsid w:val="00764ECB"/>
    <w:rPr>
      <w:b/>
      <w:bCs/>
    </w:rPr>
  </w:style>
  <w:style w:type="character" w:customStyle="1" w:styleId="CommentSubjectChar">
    <w:name w:val="Comment Subject Char"/>
    <w:basedOn w:val="CommentTextChar"/>
    <w:link w:val="CommentSubject"/>
    <w:rsid w:val="00764ECB"/>
    <w:rPr>
      <w:b/>
      <w:bCs/>
    </w:rPr>
  </w:style>
  <w:style w:type="paragraph" w:styleId="Revision">
    <w:name w:val="Revision"/>
    <w:hidden/>
    <w:uiPriority w:val="99"/>
    <w:semiHidden/>
    <w:rsid w:val="008357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40247">
      <w:bodyDiv w:val="1"/>
      <w:marLeft w:val="0"/>
      <w:marRight w:val="0"/>
      <w:marTop w:val="0"/>
      <w:marBottom w:val="0"/>
      <w:divBdr>
        <w:top w:val="none" w:sz="0" w:space="0" w:color="auto"/>
        <w:left w:val="none" w:sz="0" w:space="0" w:color="auto"/>
        <w:bottom w:val="none" w:sz="0" w:space="0" w:color="auto"/>
        <w:right w:val="none" w:sz="0" w:space="0" w:color="auto"/>
      </w:divBdr>
    </w:div>
    <w:div w:id="1988901115">
      <w:bodyDiv w:val="1"/>
      <w:marLeft w:val="0"/>
      <w:marRight w:val="0"/>
      <w:marTop w:val="0"/>
      <w:marBottom w:val="0"/>
      <w:divBdr>
        <w:top w:val="none" w:sz="0" w:space="0" w:color="auto"/>
        <w:left w:val="none" w:sz="0" w:space="0" w:color="auto"/>
        <w:bottom w:val="none" w:sz="0" w:space="0" w:color="auto"/>
        <w:right w:val="none" w:sz="0" w:space="0" w:color="auto"/>
      </w:divBdr>
    </w:div>
    <w:div w:id="2009482954">
      <w:bodyDiv w:val="1"/>
      <w:marLeft w:val="0"/>
      <w:marRight w:val="0"/>
      <w:marTop w:val="0"/>
      <w:marBottom w:val="0"/>
      <w:divBdr>
        <w:top w:val="none" w:sz="0" w:space="0" w:color="auto"/>
        <w:left w:val="none" w:sz="0" w:space="0" w:color="auto"/>
        <w:bottom w:val="none" w:sz="0" w:space="0" w:color="auto"/>
        <w:right w:val="none" w:sz="0" w:space="0" w:color="auto"/>
      </w:divBdr>
    </w:div>
    <w:div w:id="2026785558">
      <w:bodyDiv w:val="1"/>
      <w:marLeft w:val="0"/>
      <w:marRight w:val="0"/>
      <w:marTop w:val="0"/>
      <w:marBottom w:val="0"/>
      <w:divBdr>
        <w:top w:val="none" w:sz="0" w:space="0" w:color="auto"/>
        <w:left w:val="none" w:sz="0" w:space="0" w:color="auto"/>
        <w:bottom w:val="none" w:sz="0" w:space="0" w:color="auto"/>
        <w:right w:val="none" w:sz="0" w:space="0" w:color="auto"/>
      </w:divBdr>
    </w:div>
    <w:div w:id="20442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mgcb/-/media/Project/Websites/mgcb/Detroit-Casino-Revenue-Files/iGaming_Sports_Betting_Fantasy_Sports_tax_revenue_distribution_chart_715611_7.pdf?rev=180d6e96109b4f9798c5ce78cbbeb2bf&amp;hash=77F57D0FDB6B4AF3FF6AC2C2F12BDD4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chigan.gov/mgcb/resources/responsible-gamb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971</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MGCB</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busherit</dc:creator>
  <cp:keywords/>
  <cp:lastModifiedBy>Bean, Mary Kay (MGCB)</cp:lastModifiedBy>
  <cp:revision>4</cp:revision>
  <cp:lastPrinted>2014-01-09T22:05:00Z</cp:lastPrinted>
  <dcterms:created xsi:type="dcterms:W3CDTF">2022-07-13T20:30:00Z</dcterms:created>
  <dcterms:modified xsi:type="dcterms:W3CDTF">2022-07-13T20:40:00Z</dcterms:modified>
</cp:coreProperties>
</file>