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087351C1" w:rsidR="00716ED8" w:rsidRDefault="007F152D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5ACD1389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4A4FA9B7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F152D">
              <w:rPr>
                <w:rFonts w:ascii="Verdana" w:hAnsi="Verdana"/>
                <w:b/>
                <w:bCs/>
                <w:sz w:val="22"/>
                <w:szCs w:val="22"/>
              </w:rPr>
              <w:t>Febr</w:t>
            </w:r>
            <w:r w:rsidR="00BF0F9E">
              <w:rPr>
                <w:rFonts w:ascii="Verdana" w:hAnsi="Verdana"/>
                <w:b/>
                <w:bCs/>
                <w:sz w:val="22"/>
                <w:szCs w:val="22"/>
              </w:rPr>
              <w:t>uary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7F152D">
              <w:rPr>
                <w:rFonts w:ascii="Verdana" w:hAnsi="Verdana"/>
                <w:b/>
                <w:bCs/>
                <w:sz w:val="22"/>
                <w:szCs w:val="22"/>
              </w:rPr>
              <w:t>15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550B0A93" w:rsidR="00B6561B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06B04DA3" w14:textId="77777777" w:rsidR="007F152D" w:rsidRPr="00D4005C" w:rsidRDefault="007F152D" w:rsidP="007F152D">
      <w:pPr>
        <w:rPr>
          <w:rFonts w:ascii="Arial" w:hAnsi="Arial" w:cs="Arial"/>
          <w:b/>
          <w:bCs/>
          <w:sz w:val="40"/>
          <w:szCs w:val="40"/>
        </w:rPr>
      </w:pPr>
      <w:r w:rsidRPr="00D4005C">
        <w:rPr>
          <w:rFonts w:ascii="Arial" w:hAnsi="Arial" w:cs="Arial"/>
          <w:b/>
          <w:bCs/>
          <w:sz w:val="40"/>
          <w:szCs w:val="40"/>
        </w:rPr>
        <w:t>Detroit casinos report $100.9 million in January aggregate revenue</w:t>
      </w:r>
    </w:p>
    <w:p w14:paraId="47FD3F90" w14:textId="77777777" w:rsidR="007F152D" w:rsidRDefault="007F152D" w:rsidP="007F152D">
      <w:pPr>
        <w:rPr>
          <w:rFonts w:ascii="Arial" w:hAnsi="Arial" w:cs="Arial"/>
          <w:b/>
          <w:bCs/>
        </w:rPr>
      </w:pPr>
    </w:p>
    <w:p w14:paraId="349F27DA" w14:textId="01A23CA5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  <w:b/>
          <w:bCs/>
        </w:rPr>
        <w:t xml:space="preserve">Detroit, Feb. 15, 2022 </w:t>
      </w:r>
      <w:r w:rsidRPr="007F152D">
        <w:rPr>
          <w:rFonts w:ascii="Arial" w:hAnsi="Arial" w:cs="Arial"/>
        </w:rPr>
        <w:t xml:space="preserve">- The three Detroit casinos reported $100.9 million in monthly aggregate revenue in January. Table games and slots generated $98.97 million in revenue while retail sports betting contributed $1.93 million.  </w:t>
      </w:r>
    </w:p>
    <w:p w14:paraId="0F6D9763" w14:textId="77777777" w:rsidR="007F152D" w:rsidRPr="007F152D" w:rsidRDefault="007F152D" w:rsidP="007F152D">
      <w:pPr>
        <w:rPr>
          <w:rFonts w:ascii="Arial" w:hAnsi="Arial" w:cs="Arial"/>
        </w:rPr>
      </w:pPr>
    </w:p>
    <w:p w14:paraId="58C8B487" w14:textId="597C44F0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>The January market shares were:</w:t>
      </w:r>
    </w:p>
    <w:p w14:paraId="26C2932F" w14:textId="77777777" w:rsidR="007F152D" w:rsidRPr="007F152D" w:rsidRDefault="007F152D" w:rsidP="007F152D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7F152D">
        <w:rPr>
          <w:rFonts w:cs="Arial"/>
          <w:sz w:val="24"/>
          <w:szCs w:val="24"/>
        </w:rPr>
        <w:t>MGM, 49%</w:t>
      </w:r>
    </w:p>
    <w:p w14:paraId="11953A62" w14:textId="77777777" w:rsidR="007F152D" w:rsidRPr="007F152D" w:rsidRDefault="007F152D" w:rsidP="007F152D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7F152D">
        <w:rPr>
          <w:rFonts w:cs="Arial"/>
          <w:sz w:val="24"/>
          <w:szCs w:val="24"/>
        </w:rPr>
        <w:t>MotorCity, 30%</w:t>
      </w:r>
    </w:p>
    <w:p w14:paraId="24ED7FF2" w14:textId="77777777" w:rsidR="007F152D" w:rsidRPr="007F152D" w:rsidRDefault="007F152D" w:rsidP="007F152D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7F152D">
        <w:rPr>
          <w:rFonts w:cs="Arial"/>
          <w:sz w:val="24"/>
          <w:szCs w:val="24"/>
        </w:rPr>
        <w:t xml:space="preserve">Greektown, 21% </w:t>
      </w:r>
    </w:p>
    <w:p w14:paraId="46521F2F" w14:textId="77777777" w:rsidR="007F152D" w:rsidRPr="007F152D" w:rsidRDefault="007F152D" w:rsidP="007F152D">
      <w:pPr>
        <w:rPr>
          <w:rFonts w:ascii="Arial" w:hAnsi="Arial" w:cs="Arial"/>
          <w:b/>
          <w:bCs/>
        </w:rPr>
      </w:pPr>
      <w:r w:rsidRPr="007F152D">
        <w:rPr>
          <w:rFonts w:ascii="Arial" w:hAnsi="Arial" w:cs="Arial"/>
          <w:b/>
          <w:bCs/>
        </w:rPr>
        <w:t>Table Games and Slot Revenue and Taxes</w:t>
      </w:r>
    </w:p>
    <w:p w14:paraId="578337B9" w14:textId="6D2EA1BA" w:rsid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 xml:space="preserve">The casinos' January table games and slots revenue was up 14% compared with January 2021 results. Revenue was down 11.1% from December 2021 results. </w:t>
      </w:r>
    </w:p>
    <w:p w14:paraId="30FF4B04" w14:textId="77777777" w:rsidR="007F152D" w:rsidRPr="007F152D" w:rsidRDefault="007F152D" w:rsidP="007F152D">
      <w:pPr>
        <w:rPr>
          <w:rFonts w:ascii="Arial" w:hAnsi="Arial" w:cs="Arial"/>
        </w:rPr>
      </w:pPr>
    </w:p>
    <w:p w14:paraId="5FFD9264" w14:textId="772E7C9D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 xml:space="preserve">Compared with January 2021, monthly gaming revenue rose 43.3% to $48.65 million for MGM and grew 4.1% to $20.45 million for Greektown. </w:t>
      </w:r>
      <w:proofErr w:type="spellStart"/>
      <w:r w:rsidRPr="007F152D">
        <w:rPr>
          <w:rFonts w:ascii="Arial" w:hAnsi="Arial" w:cs="Arial"/>
        </w:rPr>
        <w:t>MotorCity's</w:t>
      </w:r>
      <w:proofErr w:type="spellEnd"/>
      <w:r w:rsidRPr="007F152D">
        <w:rPr>
          <w:rFonts w:ascii="Arial" w:hAnsi="Arial" w:cs="Arial"/>
        </w:rPr>
        <w:t xml:space="preserve"> monthly gaming revenue fell 9.9% to $29.87 million. The casinos operated at limited capacity in January 2021 due to pandemic-related health concerns.</w:t>
      </w:r>
    </w:p>
    <w:p w14:paraId="3AA48195" w14:textId="77777777" w:rsidR="007F152D" w:rsidRPr="007F152D" w:rsidRDefault="007F152D" w:rsidP="007F152D">
      <w:pPr>
        <w:rPr>
          <w:rFonts w:ascii="Arial" w:hAnsi="Arial" w:cs="Arial"/>
        </w:rPr>
      </w:pPr>
    </w:p>
    <w:p w14:paraId="1DE5EC88" w14:textId="540C0E90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>The three Detroit casinos paid $8 million in gaming taxes to the State of Michigan during January compared with $7 million for the same period last year.</w:t>
      </w:r>
    </w:p>
    <w:p w14:paraId="6D97978E" w14:textId="77777777" w:rsidR="007F152D" w:rsidRPr="007F152D" w:rsidRDefault="007F152D" w:rsidP="007F152D">
      <w:pPr>
        <w:rPr>
          <w:rFonts w:ascii="Arial" w:hAnsi="Arial" w:cs="Arial"/>
        </w:rPr>
      </w:pPr>
    </w:p>
    <w:p w14:paraId="18AFEDF5" w14:textId="6B9E1C58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>The three Detroit casinos reported submitting $11.8 million in wagering taxes and development agreement payments to the City of Detroit during January.</w:t>
      </w:r>
    </w:p>
    <w:p w14:paraId="2BB23C41" w14:textId="77777777" w:rsidR="007F152D" w:rsidRPr="007F152D" w:rsidRDefault="007F152D" w:rsidP="007F152D">
      <w:pPr>
        <w:rPr>
          <w:rFonts w:ascii="Arial" w:hAnsi="Arial" w:cs="Arial"/>
        </w:rPr>
      </w:pPr>
    </w:p>
    <w:p w14:paraId="30488D99" w14:textId="77777777" w:rsidR="007F152D" w:rsidRPr="007F152D" w:rsidRDefault="007F152D" w:rsidP="007F152D">
      <w:pPr>
        <w:rPr>
          <w:rFonts w:ascii="Arial" w:hAnsi="Arial" w:cs="Arial"/>
          <w:b/>
          <w:bCs/>
        </w:rPr>
      </w:pPr>
      <w:r w:rsidRPr="007F152D">
        <w:rPr>
          <w:rFonts w:ascii="Arial" w:hAnsi="Arial" w:cs="Arial"/>
          <w:b/>
          <w:bCs/>
        </w:rPr>
        <w:t>Retail Sports Betting Revenue and Taxes</w:t>
      </w:r>
    </w:p>
    <w:p w14:paraId="6A6CE5E5" w14:textId="6FBE4CD2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 xml:space="preserve">Total gross receipts for retail sports betting were $1.97 million. Retail sports betting qualified adjusted gross receipts (QAGR) dropped 52.4% in January to $1.93 million </w:t>
      </w:r>
      <w:r w:rsidRPr="007F152D">
        <w:rPr>
          <w:rFonts w:ascii="Arial" w:hAnsi="Arial" w:cs="Arial"/>
        </w:rPr>
        <w:lastRenderedPageBreak/>
        <w:t xml:space="preserve">compared with the same month last year. Monthly QAGR was up by 74.8% when compared with December results. </w:t>
      </w:r>
    </w:p>
    <w:p w14:paraId="729611DE" w14:textId="77777777" w:rsidR="007F152D" w:rsidRPr="007F152D" w:rsidRDefault="007F152D" w:rsidP="007F152D">
      <w:pPr>
        <w:rPr>
          <w:rFonts w:ascii="Arial" w:hAnsi="Arial" w:cs="Arial"/>
        </w:rPr>
      </w:pPr>
    </w:p>
    <w:p w14:paraId="6EBC6EAF" w14:textId="77777777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>QAGR by casino was:</w:t>
      </w:r>
    </w:p>
    <w:p w14:paraId="4DEF3060" w14:textId="77777777" w:rsidR="007F152D" w:rsidRPr="007F152D" w:rsidRDefault="007F152D" w:rsidP="007F152D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7F152D">
        <w:rPr>
          <w:rFonts w:cs="Arial"/>
          <w:sz w:val="24"/>
          <w:szCs w:val="24"/>
        </w:rPr>
        <w:t>MGM, $481,785</w:t>
      </w:r>
    </w:p>
    <w:p w14:paraId="6C1FB601" w14:textId="77777777" w:rsidR="007F152D" w:rsidRPr="007F152D" w:rsidRDefault="007F152D" w:rsidP="007F152D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7F152D">
        <w:rPr>
          <w:rFonts w:cs="Arial"/>
          <w:sz w:val="24"/>
          <w:szCs w:val="24"/>
        </w:rPr>
        <w:t>MotorCity, $521,493</w:t>
      </w:r>
    </w:p>
    <w:p w14:paraId="17962A1E" w14:textId="77777777" w:rsidR="007F152D" w:rsidRPr="007F152D" w:rsidRDefault="007F152D" w:rsidP="007F152D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7F152D">
        <w:rPr>
          <w:rFonts w:cs="Arial"/>
          <w:sz w:val="24"/>
          <w:szCs w:val="24"/>
        </w:rPr>
        <w:t xml:space="preserve">Greektown, $929,796 </w:t>
      </w:r>
    </w:p>
    <w:p w14:paraId="76DA8E26" w14:textId="7EF2871C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>Total handle was $35.8</w:t>
      </w:r>
      <w:r w:rsidR="0069442C">
        <w:rPr>
          <w:rFonts w:ascii="Arial" w:hAnsi="Arial" w:cs="Arial"/>
        </w:rPr>
        <w:t>7</w:t>
      </w:r>
      <w:r w:rsidRPr="007F152D">
        <w:rPr>
          <w:rFonts w:ascii="Arial" w:hAnsi="Arial" w:cs="Arial"/>
        </w:rPr>
        <w:t xml:space="preserve"> million.</w:t>
      </w:r>
    </w:p>
    <w:p w14:paraId="472D2FB5" w14:textId="77777777" w:rsidR="007F152D" w:rsidRPr="007F152D" w:rsidRDefault="007F152D" w:rsidP="007F152D">
      <w:pPr>
        <w:rPr>
          <w:rFonts w:ascii="Arial" w:hAnsi="Arial" w:cs="Arial"/>
        </w:rPr>
      </w:pPr>
    </w:p>
    <w:p w14:paraId="398C2C0F" w14:textId="0DC65AC5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 xml:space="preserve">The state received $73,070 in taxes from the casinos on retail sports betting. The three Detroit casinos reported submitting $89,308 in retail sports betting taxes to the city. </w:t>
      </w:r>
    </w:p>
    <w:p w14:paraId="3422CA8B" w14:textId="77777777" w:rsidR="007F152D" w:rsidRPr="007F152D" w:rsidRDefault="007F152D" w:rsidP="007F152D">
      <w:pPr>
        <w:rPr>
          <w:rFonts w:ascii="Arial" w:hAnsi="Arial" w:cs="Arial"/>
        </w:rPr>
      </w:pPr>
    </w:p>
    <w:p w14:paraId="518316C9" w14:textId="77777777" w:rsidR="007F152D" w:rsidRPr="007F152D" w:rsidRDefault="007F152D" w:rsidP="007F152D">
      <w:pPr>
        <w:rPr>
          <w:rFonts w:ascii="Arial" w:hAnsi="Arial" w:cs="Arial"/>
          <w:b/>
          <w:bCs/>
        </w:rPr>
      </w:pPr>
      <w:r w:rsidRPr="007F152D">
        <w:rPr>
          <w:rFonts w:ascii="Arial" w:hAnsi="Arial" w:cs="Arial"/>
          <w:b/>
          <w:bCs/>
        </w:rPr>
        <w:t>Fantasy Contests</w:t>
      </w:r>
    </w:p>
    <w:p w14:paraId="2D0E06F8" w14:textId="35C1186E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>For December, fantasy contest operators reported total adjusted revenues of $772,465 and paid taxes of $64,887.</w:t>
      </w:r>
    </w:p>
    <w:p w14:paraId="4BD2F6F2" w14:textId="77777777" w:rsidR="007F152D" w:rsidRPr="007F152D" w:rsidRDefault="007F152D" w:rsidP="007F152D">
      <w:pPr>
        <w:rPr>
          <w:rFonts w:ascii="Arial" w:hAnsi="Arial" w:cs="Arial"/>
        </w:rPr>
      </w:pPr>
    </w:p>
    <w:p w14:paraId="0E2E2BCB" w14:textId="77777777" w:rsidR="007F152D" w:rsidRPr="007F152D" w:rsidRDefault="007F152D" w:rsidP="007F152D">
      <w:pPr>
        <w:rPr>
          <w:rFonts w:ascii="Arial" w:hAnsi="Arial" w:cs="Arial"/>
        </w:rPr>
      </w:pPr>
      <w:r w:rsidRPr="007F152D">
        <w:rPr>
          <w:rFonts w:ascii="Arial" w:hAnsi="Arial" w:cs="Arial"/>
        </w:rPr>
        <w:t>For full year 2021, fantasy contest operators reported $16.2 million in aggregate fantasy contest adjusted revenues and paid $1.4 million in taxes.</w:t>
      </w:r>
    </w:p>
    <w:p w14:paraId="23A18677" w14:textId="77777777" w:rsidR="007F152D" w:rsidRPr="0051102D" w:rsidRDefault="007F152D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4A92"/>
    <w:multiLevelType w:val="hybridMultilevel"/>
    <w:tmpl w:val="D220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D2AB1"/>
    <w:multiLevelType w:val="hybridMultilevel"/>
    <w:tmpl w:val="4534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9442C"/>
    <w:rsid w:val="006A7BD8"/>
    <w:rsid w:val="006B48F2"/>
    <w:rsid w:val="006B79AD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152D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0D5D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13B88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DE7F45"/>
    <w:rsid w:val="00E21582"/>
    <w:rsid w:val="00E228C6"/>
    <w:rsid w:val="00E45ED4"/>
    <w:rsid w:val="00E53C00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paragraph" w:styleId="Revision">
    <w:name w:val="Revision"/>
    <w:hidden/>
    <w:uiPriority w:val="99"/>
    <w:semiHidden/>
    <w:rsid w:val="0069442C"/>
    <w:rPr>
      <w:sz w:val="24"/>
      <w:szCs w:val="24"/>
    </w:rPr>
  </w:style>
  <w:style w:type="character" w:styleId="CommentReference">
    <w:name w:val="annotation reference"/>
    <w:basedOn w:val="DefaultParagraphFont"/>
    <w:rsid w:val="008C0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0D5D"/>
  </w:style>
  <w:style w:type="paragraph" w:styleId="CommentSubject">
    <w:name w:val="annotation subject"/>
    <w:basedOn w:val="CommentText"/>
    <w:next w:val="CommentText"/>
    <w:link w:val="CommentSubjectChar"/>
    <w:rsid w:val="008C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0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2022-02-08T11:39:00Z</cp:lastPrinted>
  <dcterms:created xsi:type="dcterms:W3CDTF">2022-02-14T14:21:00Z</dcterms:created>
  <dcterms:modified xsi:type="dcterms:W3CDTF">2022-02-14T14:21:00Z</dcterms:modified>
</cp:coreProperties>
</file>