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6964"/>
      </w:tblGrid>
      <w:tr w:rsidR="00716ED8" w14:paraId="3B3D72A9" w14:textId="77777777">
        <w:tc>
          <w:tcPr>
            <w:tcW w:w="2058" w:type="dxa"/>
          </w:tcPr>
          <w:p w14:paraId="62622B89" w14:textId="7EC0A96E" w:rsidR="00716ED8" w:rsidRDefault="000A5DCC" w:rsidP="00E4511B">
            <w:pPr>
              <w:jc w:val="center"/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2485C7CD" wp14:editId="65F460BE">
                  <wp:extent cx="990600" cy="809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  <w:vAlign w:val="center"/>
          </w:tcPr>
          <w:p w14:paraId="6B2D12F7" w14:textId="77777777" w:rsidR="00716ED8" w:rsidRPr="0056091F" w:rsidRDefault="00716ED8">
            <w:pPr>
              <w:pStyle w:val="Heading2"/>
              <w:framePr w:hSpace="0" w:wrap="auto" w:vAnchor="margin" w:hAnchor="text" w:yAlign="inline"/>
              <w:rPr>
                <w:rStyle w:val="Hyperlink"/>
                <w:rFonts w:ascii="Microsoft Sans Serif" w:hAnsi="Microsoft Sans Serif" w:cs="Microsoft Sans Serif"/>
                <w:sz w:val="52"/>
                <w:szCs w:val="52"/>
              </w:rPr>
            </w:pPr>
            <w:r w:rsidRPr="0056091F">
              <w:rPr>
                <w:rFonts w:ascii="Microsoft Sans Serif" w:hAnsi="Microsoft Sans Serif" w:cs="Microsoft Sans Serif"/>
                <w:sz w:val="52"/>
                <w:szCs w:val="52"/>
              </w:rPr>
              <w:t>PRESS RELEASE</w:t>
            </w:r>
          </w:p>
        </w:tc>
      </w:tr>
    </w:tbl>
    <w:p w14:paraId="3F648AA5" w14:textId="77777777" w:rsidR="00EC47D5" w:rsidRPr="0031474A" w:rsidRDefault="0031474A">
      <w:pPr>
        <w:jc w:val="center"/>
        <w:rPr>
          <w:rFonts w:ascii="Book Antiqua" w:hAnsi="Book Antiqua"/>
          <w:b/>
          <w:color w:val="FF0000"/>
          <w:sz w:val="56"/>
          <w:szCs w:val="56"/>
        </w:rPr>
      </w:pPr>
      <w:r w:rsidRPr="0031474A">
        <w:rPr>
          <w:rFonts w:ascii="Book Antiqua" w:hAnsi="Book Antiqua"/>
          <w:b/>
          <w:color w:val="FF0000"/>
          <w:sz w:val="56"/>
          <w:szCs w:val="56"/>
        </w:rPr>
        <w:t xml:space="preserve"> </w:t>
      </w:r>
    </w:p>
    <w:p w14:paraId="0F27C033" w14:textId="77777777" w:rsidR="00716ED8" w:rsidRPr="008E6C63" w:rsidRDefault="00716ED8">
      <w:pPr>
        <w:jc w:val="center"/>
        <w:rPr>
          <w:rFonts w:ascii="Book Antiqua" w:hAnsi="Book Antiqua"/>
          <w:b/>
          <w:sz w:val="52"/>
        </w:rPr>
      </w:pPr>
      <w:r w:rsidRPr="008E6C63">
        <w:rPr>
          <w:rFonts w:ascii="Book Antiqua" w:hAnsi="Book Antiqua"/>
          <w:b/>
          <w:sz w:val="52"/>
        </w:rPr>
        <w:t>Michigan Gaming Control Board</w:t>
      </w:r>
    </w:p>
    <w:p w14:paraId="0305195B" w14:textId="77777777" w:rsidR="00716ED8" w:rsidRPr="0051102D" w:rsidRDefault="00716ED8">
      <w:pPr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shd w:val="clear" w:color="auto" w:fill="FFCC99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0"/>
        <w:gridCol w:w="4400"/>
      </w:tblGrid>
      <w:tr w:rsidR="00716ED8" w14:paraId="4E039AAE" w14:textId="77777777">
        <w:trPr>
          <w:jc w:val="center"/>
        </w:trPr>
        <w:tc>
          <w:tcPr>
            <w:tcW w:w="0" w:type="auto"/>
            <w:shd w:val="clear" w:color="auto" w:fill="FFCC99"/>
            <w:vAlign w:val="center"/>
          </w:tcPr>
          <w:p w14:paraId="75AA6DB4" w14:textId="18A17BEF" w:rsidR="00716ED8" w:rsidRPr="0056091F" w:rsidRDefault="00716ED8" w:rsidP="00804693">
            <w:pPr>
              <w:rPr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FOR IMMEDIATE RELEASE:</w:t>
            </w:r>
            <w:r w:rsidRPr="0056091F">
              <w:rPr>
                <w:rStyle w:val="Strong"/>
                <w:sz w:val="22"/>
                <w:szCs w:val="22"/>
              </w:rPr>
              <w:t xml:space="preserve"> 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804693">
              <w:rPr>
                <w:rFonts w:ascii="Verdana" w:hAnsi="Verdana"/>
                <w:b/>
                <w:bCs/>
                <w:sz w:val="22"/>
                <w:szCs w:val="22"/>
              </w:rPr>
              <w:t>J</w:t>
            </w:r>
            <w:r w:rsidR="00BF0F9E">
              <w:rPr>
                <w:rFonts w:ascii="Verdana" w:hAnsi="Verdana"/>
                <w:b/>
                <w:bCs/>
                <w:sz w:val="22"/>
                <w:szCs w:val="22"/>
              </w:rPr>
              <w:t>anuary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51102D">
              <w:rPr>
                <w:rFonts w:ascii="Verdana" w:hAnsi="Verdana"/>
                <w:b/>
                <w:bCs/>
                <w:sz w:val="22"/>
                <w:szCs w:val="22"/>
              </w:rPr>
              <w:t>11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>,</w:t>
            </w:r>
            <w:r w:rsidR="00B6561B">
              <w:rPr>
                <w:rFonts w:ascii="Verdana" w:hAnsi="Verdana"/>
                <w:b/>
                <w:bCs/>
                <w:sz w:val="22"/>
                <w:szCs w:val="22"/>
              </w:rPr>
              <w:t xml:space="preserve"> 20</w:t>
            </w:r>
            <w:r w:rsidR="00432433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  <w:r w:rsidR="00E21582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CC99"/>
            <w:vAlign w:val="center"/>
          </w:tcPr>
          <w:p w14:paraId="263F94B2" w14:textId="77777777" w:rsidR="005D467C" w:rsidRDefault="00716ED8" w:rsidP="005D467C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Contact: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D0524A">
              <w:rPr>
                <w:rFonts w:ascii="Verdana" w:hAnsi="Verdana"/>
                <w:sz w:val="22"/>
                <w:szCs w:val="22"/>
              </w:rPr>
              <w:t>Mary Kay Bean</w:t>
            </w:r>
            <w:r w:rsidR="005D467C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70383645" w14:textId="483979D0" w:rsidR="00716ED8" w:rsidRPr="0056091F" w:rsidRDefault="00E228C6" w:rsidP="005D467C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Beanm1@michigan.gov</w:t>
            </w:r>
          </w:p>
          <w:p w14:paraId="3786EB74" w14:textId="77777777" w:rsidR="00716ED8" w:rsidRPr="00BC75DD" w:rsidRDefault="00BC75D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www.michigan.gov/mgcb</w:t>
            </w:r>
          </w:p>
        </w:tc>
      </w:tr>
    </w:tbl>
    <w:p w14:paraId="7B51E15F" w14:textId="77777777" w:rsidR="00716ED8" w:rsidRPr="00F442A5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16"/>
          <w:szCs w:val="16"/>
        </w:rPr>
      </w:pPr>
    </w:p>
    <w:p w14:paraId="0F3FE364" w14:textId="77777777" w:rsidR="00716ED8" w:rsidRPr="00345C74" w:rsidRDefault="00716ED8">
      <w:pPr>
        <w:pStyle w:val="Heading4"/>
        <w:jc w:val="left"/>
        <w:rPr>
          <w:b w:val="0"/>
          <w:bCs w:val="0"/>
          <w:sz w:val="20"/>
          <w:szCs w:val="20"/>
        </w:rPr>
      </w:pPr>
      <w:r w:rsidRPr="00345C74">
        <w:rPr>
          <w:sz w:val="20"/>
          <w:szCs w:val="20"/>
        </w:rPr>
        <w:t xml:space="preserve">Location: </w:t>
      </w:r>
      <w:r w:rsidRPr="00345C74">
        <w:rPr>
          <w:b w:val="0"/>
          <w:bCs w:val="0"/>
          <w:sz w:val="20"/>
          <w:szCs w:val="20"/>
        </w:rPr>
        <w:t>Cadillac Place, 3062 W. Grand Blvd., L-700 – Detroit</w:t>
      </w:r>
    </w:p>
    <w:p w14:paraId="210319C5" w14:textId="77777777" w:rsidR="00716ED8" w:rsidRPr="00345C74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345C74">
        <w:rPr>
          <w:rFonts w:ascii="Verdana" w:hAnsi="Verdana"/>
          <w:b/>
          <w:bCs/>
          <w:sz w:val="20"/>
          <w:szCs w:val="20"/>
        </w:rPr>
        <w:t>Time:</w:t>
      </w:r>
      <w:r w:rsidRPr="00345C74">
        <w:rPr>
          <w:rFonts w:ascii="Verdana" w:hAnsi="Verdana"/>
          <w:sz w:val="20"/>
          <w:szCs w:val="20"/>
        </w:rPr>
        <w:t xml:space="preserve"> </w:t>
      </w:r>
      <w:r w:rsidR="00345C74">
        <w:rPr>
          <w:rFonts w:ascii="Verdana" w:hAnsi="Verdana"/>
          <w:sz w:val="20"/>
          <w:szCs w:val="20"/>
        </w:rPr>
        <w:t>10</w:t>
      </w:r>
      <w:r w:rsidR="00B6561B" w:rsidRPr="00345C74">
        <w:rPr>
          <w:rFonts w:ascii="Verdana" w:hAnsi="Verdana"/>
          <w:sz w:val="20"/>
          <w:szCs w:val="20"/>
        </w:rPr>
        <w:t>:00</w:t>
      </w:r>
      <w:r w:rsidR="00BB4CA4" w:rsidRPr="00345C74">
        <w:rPr>
          <w:rFonts w:ascii="Verdana" w:hAnsi="Verdana"/>
          <w:sz w:val="20"/>
          <w:szCs w:val="20"/>
        </w:rPr>
        <w:t xml:space="preserve"> </w:t>
      </w:r>
      <w:r w:rsidR="00D0524A" w:rsidRPr="00345C74">
        <w:rPr>
          <w:rFonts w:ascii="Verdana" w:hAnsi="Verdana"/>
          <w:sz w:val="20"/>
          <w:szCs w:val="20"/>
        </w:rPr>
        <w:t>a</w:t>
      </w:r>
      <w:r w:rsidR="00035E72" w:rsidRPr="00345C74">
        <w:rPr>
          <w:rFonts w:ascii="Verdana" w:hAnsi="Verdana"/>
          <w:sz w:val="20"/>
          <w:szCs w:val="20"/>
        </w:rPr>
        <w:t>.</w:t>
      </w:r>
      <w:r w:rsidR="00BB4CA4" w:rsidRPr="00345C74">
        <w:rPr>
          <w:rFonts w:ascii="Verdana" w:hAnsi="Verdana"/>
          <w:sz w:val="20"/>
          <w:szCs w:val="20"/>
        </w:rPr>
        <w:t>m.</w:t>
      </w:r>
      <w:r w:rsidRPr="00345C74">
        <w:rPr>
          <w:rFonts w:ascii="Verdana" w:hAnsi="Verdana"/>
          <w:sz w:val="20"/>
          <w:szCs w:val="20"/>
        </w:rPr>
        <w:t xml:space="preserve"> </w:t>
      </w:r>
    </w:p>
    <w:p w14:paraId="0F005504" w14:textId="77777777" w:rsidR="00966852" w:rsidRPr="00F442A5" w:rsidRDefault="00966852" w:rsidP="002E73D0">
      <w:pPr>
        <w:ind w:left="36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1ACA21A5" w14:textId="77777777" w:rsidR="00B6561B" w:rsidRPr="00345C74" w:rsidRDefault="00B6561B" w:rsidP="00B6561B">
      <w:pPr>
        <w:rPr>
          <w:rFonts w:ascii="Verdana" w:hAnsi="Verdana"/>
          <w:b/>
          <w:sz w:val="20"/>
          <w:szCs w:val="20"/>
        </w:rPr>
      </w:pPr>
      <w:r w:rsidRPr="00345C74">
        <w:rPr>
          <w:rFonts w:ascii="Verdana" w:hAnsi="Verdana"/>
          <w:b/>
          <w:sz w:val="20"/>
          <w:szCs w:val="20"/>
        </w:rPr>
        <w:t>For Immediate Release:</w:t>
      </w:r>
    </w:p>
    <w:p w14:paraId="57796A57" w14:textId="77777777" w:rsidR="00B6561B" w:rsidRPr="0051102D" w:rsidRDefault="00B6561B" w:rsidP="00B6561B">
      <w:pPr>
        <w:rPr>
          <w:rFonts w:ascii="Arial" w:hAnsi="Arial" w:cs="Arial"/>
          <w:b/>
          <w:sz w:val="16"/>
          <w:szCs w:val="16"/>
        </w:rPr>
      </w:pPr>
    </w:p>
    <w:p w14:paraId="795ED0BB" w14:textId="77777777" w:rsidR="00F442A5" w:rsidRPr="00B02BD1" w:rsidRDefault="00F442A5" w:rsidP="00F442A5">
      <w:pPr>
        <w:rPr>
          <w:rFonts w:ascii="Arial" w:hAnsi="Arial" w:cs="Arial"/>
          <w:b/>
          <w:bCs/>
          <w:sz w:val="40"/>
          <w:szCs w:val="40"/>
        </w:rPr>
      </w:pPr>
      <w:r w:rsidRPr="00B02BD1">
        <w:rPr>
          <w:rFonts w:ascii="Arial" w:hAnsi="Arial" w:cs="Arial"/>
          <w:b/>
          <w:bCs/>
          <w:sz w:val="40"/>
          <w:szCs w:val="40"/>
        </w:rPr>
        <w:t>Detroit casinos produce $1.29 billion in aggregate revenue during 2021</w:t>
      </w:r>
    </w:p>
    <w:p w14:paraId="71C02EDF" w14:textId="77777777" w:rsidR="00F442A5" w:rsidRPr="0051102D" w:rsidRDefault="00F442A5" w:rsidP="00F442A5">
      <w:pPr>
        <w:rPr>
          <w:rFonts w:ascii="Arial" w:hAnsi="Arial" w:cs="Arial"/>
          <w:b/>
          <w:bCs/>
          <w:sz w:val="16"/>
          <w:szCs w:val="16"/>
        </w:rPr>
      </w:pPr>
    </w:p>
    <w:p w14:paraId="457A7EAF" w14:textId="4DA6231F" w:rsidR="00F442A5" w:rsidRPr="00F442A5" w:rsidRDefault="00F442A5" w:rsidP="00F442A5">
      <w:pPr>
        <w:rPr>
          <w:rFonts w:ascii="Arial" w:hAnsi="Arial" w:cs="Arial"/>
          <w:sz w:val="22"/>
          <w:szCs w:val="22"/>
        </w:rPr>
      </w:pPr>
      <w:r w:rsidRPr="00F442A5">
        <w:rPr>
          <w:rFonts w:ascii="Arial" w:hAnsi="Arial" w:cs="Arial"/>
          <w:b/>
          <w:bCs/>
          <w:sz w:val="22"/>
          <w:szCs w:val="22"/>
        </w:rPr>
        <w:t>Detroit, January 11, 2022</w:t>
      </w:r>
      <w:r w:rsidRPr="00F442A5">
        <w:rPr>
          <w:rFonts w:ascii="Arial" w:hAnsi="Arial" w:cs="Arial"/>
          <w:sz w:val="22"/>
          <w:szCs w:val="22"/>
        </w:rPr>
        <w:t xml:space="preserve"> - The three Detroit casinos reported $1.294 billion yearly revenue in 2021. Slots generated 77% of revenue at $998.8 million, table games provided 21% of revenue at $268 million and retail sports betting added 2% of revenue at $26.95 million.</w:t>
      </w:r>
    </w:p>
    <w:p w14:paraId="799E4C47" w14:textId="77777777" w:rsidR="00F442A5" w:rsidRPr="0051102D" w:rsidRDefault="00F442A5" w:rsidP="00F442A5">
      <w:pPr>
        <w:rPr>
          <w:rFonts w:ascii="Arial" w:hAnsi="Arial" w:cs="Arial"/>
          <w:sz w:val="16"/>
          <w:szCs w:val="16"/>
        </w:rPr>
      </w:pPr>
    </w:p>
    <w:p w14:paraId="075AD705" w14:textId="48E12ED6" w:rsidR="00F442A5" w:rsidRPr="00F442A5" w:rsidRDefault="00F442A5" w:rsidP="00F442A5">
      <w:pPr>
        <w:rPr>
          <w:rFonts w:ascii="Arial" w:hAnsi="Arial" w:cs="Arial"/>
          <w:sz w:val="22"/>
          <w:szCs w:val="22"/>
        </w:rPr>
      </w:pPr>
      <w:r w:rsidRPr="00F442A5">
        <w:rPr>
          <w:rFonts w:ascii="Arial" w:hAnsi="Arial" w:cs="Arial"/>
          <w:sz w:val="22"/>
          <w:szCs w:val="22"/>
        </w:rPr>
        <w:t>By comparison, the casinos produced nearly $639 million in aggregate revenue in 2020 and a record $1.454 billion in 2019.</w:t>
      </w:r>
    </w:p>
    <w:p w14:paraId="01CEA914" w14:textId="77777777" w:rsidR="00F442A5" w:rsidRPr="0051102D" w:rsidRDefault="00F442A5" w:rsidP="00F442A5">
      <w:pPr>
        <w:rPr>
          <w:rFonts w:ascii="Arial" w:hAnsi="Arial" w:cs="Arial"/>
          <w:sz w:val="16"/>
          <w:szCs w:val="16"/>
        </w:rPr>
      </w:pPr>
    </w:p>
    <w:p w14:paraId="42F78D51" w14:textId="1B8B66AC" w:rsidR="00F442A5" w:rsidRPr="00F442A5" w:rsidRDefault="00F442A5" w:rsidP="00F442A5">
      <w:pPr>
        <w:rPr>
          <w:rFonts w:ascii="Arial" w:hAnsi="Arial" w:cs="Arial"/>
          <w:sz w:val="22"/>
          <w:szCs w:val="22"/>
        </w:rPr>
      </w:pPr>
      <w:r w:rsidRPr="00F442A5">
        <w:rPr>
          <w:rFonts w:ascii="Arial" w:hAnsi="Arial" w:cs="Arial"/>
          <w:sz w:val="22"/>
          <w:szCs w:val="22"/>
        </w:rPr>
        <w:t>The 2021 market shares were:</w:t>
      </w:r>
    </w:p>
    <w:p w14:paraId="4DEE9958" w14:textId="77777777" w:rsidR="00F442A5" w:rsidRPr="0051102D" w:rsidRDefault="00F442A5" w:rsidP="00F442A5">
      <w:pPr>
        <w:rPr>
          <w:rFonts w:ascii="Arial" w:hAnsi="Arial" w:cs="Arial"/>
          <w:sz w:val="16"/>
          <w:szCs w:val="16"/>
        </w:rPr>
      </w:pPr>
    </w:p>
    <w:p w14:paraId="2DF5469A" w14:textId="77777777" w:rsidR="00F442A5" w:rsidRPr="00F442A5" w:rsidRDefault="00F442A5" w:rsidP="0051102D">
      <w:pPr>
        <w:numPr>
          <w:ilvl w:val="0"/>
          <w:numId w:val="8"/>
        </w:numPr>
        <w:spacing w:after="160"/>
        <w:contextualSpacing/>
        <w:rPr>
          <w:rFonts w:ascii="Arial" w:hAnsi="Arial" w:cs="Arial"/>
          <w:sz w:val="22"/>
          <w:szCs w:val="22"/>
        </w:rPr>
      </w:pPr>
      <w:r w:rsidRPr="00F442A5">
        <w:rPr>
          <w:rFonts w:ascii="Arial" w:hAnsi="Arial" w:cs="Arial"/>
          <w:sz w:val="22"/>
          <w:szCs w:val="22"/>
        </w:rPr>
        <w:t>MGM Grand Detroit, 43%</w:t>
      </w:r>
    </w:p>
    <w:p w14:paraId="35A2442F" w14:textId="77777777" w:rsidR="00F442A5" w:rsidRPr="00F442A5" w:rsidRDefault="00F442A5" w:rsidP="0051102D">
      <w:pPr>
        <w:numPr>
          <w:ilvl w:val="0"/>
          <w:numId w:val="8"/>
        </w:numPr>
        <w:spacing w:after="160"/>
        <w:contextualSpacing/>
        <w:rPr>
          <w:rFonts w:ascii="Arial" w:hAnsi="Arial" w:cs="Arial"/>
          <w:sz w:val="22"/>
          <w:szCs w:val="22"/>
        </w:rPr>
      </w:pPr>
      <w:r w:rsidRPr="00F442A5">
        <w:rPr>
          <w:rFonts w:ascii="Arial" w:hAnsi="Arial" w:cs="Arial"/>
          <w:sz w:val="22"/>
          <w:szCs w:val="22"/>
        </w:rPr>
        <w:t>MotorCity Casino, 35%</w:t>
      </w:r>
    </w:p>
    <w:p w14:paraId="2D1E886E" w14:textId="108212F9" w:rsidR="00F442A5" w:rsidRDefault="00F442A5" w:rsidP="0051102D">
      <w:pPr>
        <w:numPr>
          <w:ilvl w:val="0"/>
          <w:numId w:val="8"/>
        </w:numPr>
        <w:spacing w:after="160"/>
        <w:contextualSpacing/>
        <w:rPr>
          <w:rFonts w:ascii="Arial" w:hAnsi="Arial" w:cs="Arial"/>
          <w:sz w:val="22"/>
          <w:szCs w:val="22"/>
        </w:rPr>
      </w:pPr>
      <w:r w:rsidRPr="00F442A5">
        <w:rPr>
          <w:rFonts w:ascii="Arial" w:hAnsi="Arial" w:cs="Arial"/>
          <w:sz w:val="22"/>
          <w:szCs w:val="22"/>
        </w:rPr>
        <w:t>Greektown Casino, 22%</w:t>
      </w:r>
    </w:p>
    <w:p w14:paraId="691EA250" w14:textId="77777777" w:rsidR="0051102D" w:rsidRPr="0051102D" w:rsidRDefault="0051102D" w:rsidP="0051102D">
      <w:pPr>
        <w:spacing w:after="160"/>
        <w:ind w:left="360"/>
        <w:contextualSpacing/>
        <w:rPr>
          <w:rFonts w:ascii="Arial" w:hAnsi="Arial" w:cs="Arial"/>
          <w:sz w:val="16"/>
          <w:szCs w:val="16"/>
        </w:rPr>
      </w:pPr>
    </w:p>
    <w:p w14:paraId="0764B723" w14:textId="77777777" w:rsidR="00F442A5" w:rsidRPr="00F442A5" w:rsidRDefault="00F442A5" w:rsidP="00F442A5">
      <w:pPr>
        <w:rPr>
          <w:rFonts w:ascii="Arial" w:hAnsi="Arial" w:cs="Arial"/>
          <w:b/>
          <w:bCs/>
          <w:sz w:val="22"/>
          <w:szCs w:val="22"/>
        </w:rPr>
      </w:pPr>
      <w:r w:rsidRPr="00F442A5">
        <w:rPr>
          <w:rFonts w:ascii="Arial" w:hAnsi="Arial" w:cs="Arial"/>
          <w:b/>
          <w:bCs/>
          <w:sz w:val="22"/>
          <w:szCs w:val="22"/>
        </w:rPr>
        <w:t>Table Games and Slot Revenue and Taxes - 2021</w:t>
      </w:r>
    </w:p>
    <w:p w14:paraId="3DD25EA8" w14:textId="76FA1705" w:rsidR="00F442A5" w:rsidRPr="00F442A5" w:rsidRDefault="00F442A5" w:rsidP="00F442A5">
      <w:pPr>
        <w:rPr>
          <w:rFonts w:ascii="Arial" w:hAnsi="Arial" w:cs="Arial"/>
          <w:sz w:val="22"/>
          <w:szCs w:val="22"/>
        </w:rPr>
      </w:pPr>
      <w:r w:rsidRPr="00F442A5">
        <w:rPr>
          <w:rFonts w:ascii="Arial" w:hAnsi="Arial" w:cs="Arial"/>
          <w:sz w:val="22"/>
          <w:szCs w:val="22"/>
        </w:rPr>
        <w:t>Year-over-year gaming revenue for slots and table games rose 104.2% to $1.27 billion. MGM Grand Detroit's revenue rose 115.5% to $554 million. MotorCity Casino's revenue was up 96.8% to $438.3 million. At Greektown Casino, revenue was up 95.2% to $274.5 million.</w:t>
      </w:r>
    </w:p>
    <w:p w14:paraId="73521D7D" w14:textId="77777777" w:rsidR="00F442A5" w:rsidRPr="0051102D" w:rsidRDefault="00F442A5" w:rsidP="00F442A5">
      <w:pPr>
        <w:rPr>
          <w:rFonts w:ascii="Arial" w:hAnsi="Arial" w:cs="Arial"/>
          <w:sz w:val="16"/>
          <w:szCs w:val="16"/>
        </w:rPr>
      </w:pPr>
    </w:p>
    <w:p w14:paraId="4A861B90" w14:textId="30423C39" w:rsidR="00F442A5" w:rsidRPr="00F442A5" w:rsidRDefault="00F442A5" w:rsidP="00F442A5">
      <w:pPr>
        <w:rPr>
          <w:rFonts w:ascii="Arial" w:hAnsi="Arial" w:cs="Arial"/>
          <w:sz w:val="22"/>
          <w:szCs w:val="22"/>
        </w:rPr>
      </w:pPr>
      <w:r w:rsidRPr="00F442A5">
        <w:rPr>
          <w:rFonts w:ascii="Arial" w:hAnsi="Arial" w:cs="Arial"/>
          <w:sz w:val="22"/>
          <w:szCs w:val="22"/>
        </w:rPr>
        <w:t>During 2021, the three Detroit casinos paid $102.6 million in wagering taxes to the State of Michigan compared with $50.3 million in 2020 on slots and table games revenue.</w:t>
      </w:r>
    </w:p>
    <w:p w14:paraId="780D1B43" w14:textId="77777777" w:rsidR="00F442A5" w:rsidRPr="0051102D" w:rsidRDefault="00F442A5" w:rsidP="00F442A5">
      <w:pPr>
        <w:rPr>
          <w:rFonts w:ascii="Arial" w:hAnsi="Arial" w:cs="Arial"/>
          <w:sz w:val="16"/>
          <w:szCs w:val="16"/>
        </w:rPr>
      </w:pPr>
    </w:p>
    <w:p w14:paraId="15DC3690" w14:textId="29DBE143" w:rsidR="00F442A5" w:rsidRPr="00F442A5" w:rsidRDefault="00F442A5" w:rsidP="00F442A5">
      <w:pPr>
        <w:rPr>
          <w:rFonts w:ascii="Arial" w:hAnsi="Arial" w:cs="Arial"/>
          <w:sz w:val="22"/>
          <w:szCs w:val="22"/>
        </w:rPr>
      </w:pPr>
      <w:r w:rsidRPr="00F442A5">
        <w:rPr>
          <w:rFonts w:ascii="Arial" w:hAnsi="Arial" w:cs="Arial"/>
          <w:sz w:val="22"/>
          <w:szCs w:val="22"/>
        </w:rPr>
        <w:t>The three Detroit casinos reported making $160.8 million in wagering taxes and development agreement payments on slots and table games revenue to the City of Detroit in 2021.</w:t>
      </w:r>
    </w:p>
    <w:p w14:paraId="735D8DFF" w14:textId="77777777" w:rsidR="00F442A5" w:rsidRPr="0051102D" w:rsidRDefault="00F442A5" w:rsidP="00F442A5">
      <w:pPr>
        <w:rPr>
          <w:rFonts w:ascii="Arial" w:hAnsi="Arial" w:cs="Arial"/>
          <w:sz w:val="16"/>
          <w:szCs w:val="16"/>
        </w:rPr>
      </w:pPr>
    </w:p>
    <w:p w14:paraId="3C25DE39" w14:textId="77777777" w:rsidR="00F442A5" w:rsidRPr="00F442A5" w:rsidRDefault="00F442A5" w:rsidP="00F442A5">
      <w:pPr>
        <w:rPr>
          <w:rFonts w:ascii="Arial" w:hAnsi="Arial" w:cs="Arial"/>
          <w:b/>
          <w:bCs/>
          <w:sz w:val="22"/>
          <w:szCs w:val="22"/>
        </w:rPr>
      </w:pPr>
      <w:r w:rsidRPr="00F442A5">
        <w:rPr>
          <w:rFonts w:ascii="Arial" w:hAnsi="Arial" w:cs="Arial"/>
          <w:b/>
          <w:bCs/>
          <w:sz w:val="22"/>
          <w:szCs w:val="22"/>
        </w:rPr>
        <w:t>Retail Sports Betting and Taxes - 2021</w:t>
      </w:r>
    </w:p>
    <w:p w14:paraId="13CAF51F" w14:textId="671D547D" w:rsidR="00F442A5" w:rsidRPr="00F442A5" w:rsidRDefault="00F442A5" w:rsidP="00F442A5">
      <w:pPr>
        <w:rPr>
          <w:rFonts w:ascii="Arial" w:hAnsi="Arial" w:cs="Arial"/>
          <w:sz w:val="22"/>
          <w:szCs w:val="22"/>
        </w:rPr>
      </w:pPr>
      <w:r w:rsidRPr="00F442A5">
        <w:rPr>
          <w:rFonts w:ascii="Arial" w:hAnsi="Arial" w:cs="Arial"/>
          <w:sz w:val="22"/>
          <w:szCs w:val="22"/>
        </w:rPr>
        <w:t>The three casinos reported aggregate retail sports betting qualified adjusted gross receipts of $26.95 million. The breakdown by casino was:</w:t>
      </w:r>
    </w:p>
    <w:p w14:paraId="6B3F2C21" w14:textId="77777777" w:rsidR="00F442A5" w:rsidRPr="0051102D" w:rsidRDefault="00F442A5" w:rsidP="00F442A5">
      <w:pPr>
        <w:rPr>
          <w:rFonts w:ascii="Arial" w:hAnsi="Arial" w:cs="Arial"/>
          <w:sz w:val="16"/>
          <w:szCs w:val="16"/>
        </w:rPr>
      </w:pPr>
    </w:p>
    <w:p w14:paraId="6C2A5384" w14:textId="77777777" w:rsidR="00F442A5" w:rsidRPr="00F442A5" w:rsidRDefault="00F442A5" w:rsidP="00F442A5">
      <w:pPr>
        <w:pStyle w:val="ListParagraph"/>
        <w:numPr>
          <w:ilvl w:val="0"/>
          <w:numId w:val="7"/>
        </w:numPr>
        <w:spacing w:after="160" w:line="259" w:lineRule="auto"/>
        <w:rPr>
          <w:rFonts w:cs="Arial"/>
          <w:szCs w:val="22"/>
        </w:rPr>
      </w:pPr>
      <w:r w:rsidRPr="00F442A5">
        <w:rPr>
          <w:rFonts w:cs="Arial"/>
          <w:szCs w:val="22"/>
        </w:rPr>
        <w:t>MGM, $8.79 million</w:t>
      </w:r>
    </w:p>
    <w:p w14:paraId="2ED2E411" w14:textId="77777777" w:rsidR="00F442A5" w:rsidRPr="00F442A5" w:rsidRDefault="00F442A5" w:rsidP="00F442A5">
      <w:pPr>
        <w:pStyle w:val="ListParagraph"/>
        <w:numPr>
          <w:ilvl w:val="0"/>
          <w:numId w:val="7"/>
        </w:numPr>
        <w:spacing w:after="160" w:line="259" w:lineRule="auto"/>
        <w:rPr>
          <w:rFonts w:cs="Arial"/>
          <w:szCs w:val="22"/>
        </w:rPr>
      </w:pPr>
      <w:r w:rsidRPr="00F442A5">
        <w:rPr>
          <w:rFonts w:cs="Arial"/>
          <w:szCs w:val="22"/>
        </w:rPr>
        <w:t>MotorCity, $8.69 million</w:t>
      </w:r>
    </w:p>
    <w:p w14:paraId="6B84366A" w14:textId="77777777" w:rsidR="00F442A5" w:rsidRPr="00F442A5" w:rsidRDefault="00F442A5" w:rsidP="00F442A5">
      <w:pPr>
        <w:pStyle w:val="ListParagraph"/>
        <w:numPr>
          <w:ilvl w:val="0"/>
          <w:numId w:val="7"/>
        </w:numPr>
        <w:spacing w:after="160" w:line="259" w:lineRule="auto"/>
        <w:rPr>
          <w:rFonts w:cs="Arial"/>
          <w:szCs w:val="22"/>
        </w:rPr>
      </w:pPr>
      <w:r w:rsidRPr="00F442A5">
        <w:rPr>
          <w:rFonts w:cs="Arial"/>
          <w:szCs w:val="22"/>
        </w:rPr>
        <w:lastRenderedPageBreak/>
        <w:t>Greektown, $9.47 million</w:t>
      </w:r>
    </w:p>
    <w:p w14:paraId="4A288355" w14:textId="0277E5E4" w:rsidR="00F442A5" w:rsidRPr="00F442A5" w:rsidRDefault="00F442A5" w:rsidP="00F442A5">
      <w:pPr>
        <w:rPr>
          <w:rFonts w:ascii="Arial" w:hAnsi="Arial" w:cs="Arial"/>
          <w:sz w:val="22"/>
          <w:szCs w:val="22"/>
        </w:rPr>
      </w:pPr>
      <w:r w:rsidRPr="00F442A5">
        <w:rPr>
          <w:rFonts w:ascii="Arial" w:hAnsi="Arial" w:cs="Arial"/>
          <w:sz w:val="22"/>
          <w:szCs w:val="22"/>
        </w:rPr>
        <w:t>Qualified adjusted gross receipts are gross sports betting receipts minus the monetary value of free play incentives provided to and wagered by bettors.</w:t>
      </w:r>
    </w:p>
    <w:p w14:paraId="4CBB1A51" w14:textId="77777777" w:rsidR="00F442A5" w:rsidRPr="0051102D" w:rsidRDefault="00F442A5" w:rsidP="00F442A5">
      <w:pPr>
        <w:rPr>
          <w:rFonts w:ascii="Arial" w:hAnsi="Arial" w:cs="Arial"/>
          <w:sz w:val="16"/>
          <w:szCs w:val="16"/>
        </w:rPr>
      </w:pPr>
    </w:p>
    <w:p w14:paraId="0F43336A" w14:textId="557A8786" w:rsidR="00F442A5" w:rsidRPr="00F442A5" w:rsidRDefault="00F442A5" w:rsidP="00F442A5">
      <w:pPr>
        <w:rPr>
          <w:rFonts w:ascii="Arial" w:hAnsi="Arial" w:cs="Arial"/>
          <w:sz w:val="22"/>
          <w:szCs w:val="22"/>
        </w:rPr>
      </w:pPr>
      <w:r w:rsidRPr="00F442A5">
        <w:rPr>
          <w:rFonts w:ascii="Arial" w:hAnsi="Arial" w:cs="Arial"/>
          <w:sz w:val="22"/>
          <w:szCs w:val="22"/>
        </w:rPr>
        <w:t>The three Detroit casinos in 2021 paid $1 million in taxes for retail sports betting to the State of Michigan compared with $690,865 in 2020. They reported submitting $1.26</w:t>
      </w:r>
      <w:r w:rsidR="00665BA6">
        <w:rPr>
          <w:rFonts w:ascii="Arial" w:hAnsi="Arial" w:cs="Arial"/>
          <w:sz w:val="22"/>
          <w:szCs w:val="22"/>
        </w:rPr>
        <w:t xml:space="preserve"> </w:t>
      </w:r>
      <w:r w:rsidRPr="00F442A5">
        <w:rPr>
          <w:rFonts w:ascii="Arial" w:hAnsi="Arial" w:cs="Arial"/>
          <w:sz w:val="22"/>
          <w:szCs w:val="22"/>
        </w:rPr>
        <w:t>million in retail sports betting taxes to the City of Detroit.</w:t>
      </w:r>
    </w:p>
    <w:p w14:paraId="4413DCB9" w14:textId="77777777" w:rsidR="00F442A5" w:rsidRPr="0051102D" w:rsidRDefault="00F442A5" w:rsidP="00F442A5">
      <w:pPr>
        <w:rPr>
          <w:rFonts w:ascii="Arial" w:hAnsi="Arial" w:cs="Arial"/>
          <w:sz w:val="16"/>
          <w:szCs w:val="16"/>
        </w:rPr>
      </w:pPr>
    </w:p>
    <w:p w14:paraId="201833B0" w14:textId="77777777" w:rsidR="00F442A5" w:rsidRPr="00F442A5" w:rsidRDefault="00F442A5" w:rsidP="00F442A5">
      <w:pPr>
        <w:rPr>
          <w:rFonts w:ascii="Arial" w:hAnsi="Arial" w:cs="Arial"/>
          <w:b/>
          <w:bCs/>
          <w:sz w:val="22"/>
          <w:szCs w:val="22"/>
        </w:rPr>
      </w:pPr>
      <w:r w:rsidRPr="00F442A5">
        <w:rPr>
          <w:rFonts w:ascii="Arial" w:hAnsi="Arial" w:cs="Arial"/>
          <w:b/>
          <w:bCs/>
          <w:sz w:val="22"/>
          <w:szCs w:val="22"/>
        </w:rPr>
        <w:t>December 2021 results</w:t>
      </w:r>
    </w:p>
    <w:p w14:paraId="5B83BA08" w14:textId="49076CC3" w:rsidR="00F442A5" w:rsidRPr="00F442A5" w:rsidRDefault="00F442A5" w:rsidP="00F442A5">
      <w:pPr>
        <w:rPr>
          <w:rFonts w:ascii="Arial" w:hAnsi="Arial" w:cs="Arial"/>
          <w:sz w:val="22"/>
          <w:szCs w:val="22"/>
        </w:rPr>
      </w:pPr>
      <w:r w:rsidRPr="00F442A5">
        <w:rPr>
          <w:rFonts w:ascii="Arial" w:hAnsi="Arial" w:cs="Arial"/>
          <w:sz w:val="22"/>
          <w:szCs w:val="22"/>
        </w:rPr>
        <w:t>The three casinos reported $112.5 million in monthly aggregate revenue in December. Table games and slots generated $111.4 million in revenue while retail sports betting produced $1.1 million in revenue.</w:t>
      </w:r>
    </w:p>
    <w:p w14:paraId="3CE46096" w14:textId="77777777" w:rsidR="00F442A5" w:rsidRPr="0051102D" w:rsidRDefault="00F442A5" w:rsidP="00F442A5">
      <w:pPr>
        <w:rPr>
          <w:rFonts w:ascii="Arial" w:hAnsi="Arial" w:cs="Arial"/>
          <w:sz w:val="16"/>
          <w:szCs w:val="16"/>
        </w:rPr>
      </w:pPr>
    </w:p>
    <w:p w14:paraId="6784AF9A" w14:textId="205A3BFA" w:rsidR="00F442A5" w:rsidRPr="00F442A5" w:rsidRDefault="00F442A5" w:rsidP="00F442A5">
      <w:pPr>
        <w:rPr>
          <w:rFonts w:ascii="Arial" w:hAnsi="Arial" w:cs="Arial"/>
          <w:sz w:val="22"/>
          <w:szCs w:val="22"/>
        </w:rPr>
      </w:pPr>
      <w:r w:rsidRPr="00F442A5">
        <w:rPr>
          <w:rFonts w:ascii="Arial" w:hAnsi="Arial" w:cs="Arial"/>
          <w:sz w:val="22"/>
          <w:szCs w:val="22"/>
        </w:rPr>
        <w:t>December 2021 table games and slots revenue was 405% higher than revenue produced in December 2020 when the casinos were closed from Dec. 1 through Dec. 23 because of an epidemic order. Revenue for table games and slots also was up 7.2% compared with November numbers.</w:t>
      </w:r>
    </w:p>
    <w:p w14:paraId="40BBA55C" w14:textId="77777777" w:rsidR="00F442A5" w:rsidRPr="0051102D" w:rsidRDefault="00F442A5" w:rsidP="00F442A5">
      <w:pPr>
        <w:rPr>
          <w:rFonts w:ascii="Arial" w:hAnsi="Arial" w:cs="Arial"/>
          <w:sz w:val="16"/>
          <w:szCs w:val="16"/>
        </w:rPr>
      </w:pPr>
    </w:p>
    <w:p w14:paraId="685199F5" w14:textId="79C39575" w:rsidR="00F442A5" w:rsidRPr="00F442A5" w:rsidRDefault="00F442A5" w:rsidP="00F442A5">
      <w:pPr>
        <w:rPr>
          <w:rFonts w:ascii="Arial" w:hAnsi="Arial" w:cs="Arial"/>
          <w:sz w:val="22"/>
          <w:szCs w:val="22"/>
        </w:rPr>
      </w:pPr>
      <w:r w:rsidRPr="00F442A5">
        <w:rPr>
          <w:rFonts w:ascii="Arial" w:hAnsi="Arial" w:cs="Arial"/>
          <w:sz w:val="22"/>
          <w:szCs w:val="22"/>
        </w:rPr>
        <w:t xml:space="preserve">December revenue rose 576.5% to $51.4 million for MGM compared with December 2020 results. </w:t>
      </w:r>
      <w:proofErr w:type="spellStart"/>
      <w:r w:rsidRPr="00F442A5">
        <w:rPr>
          <w:rFonts w:ascii="Arial" w:hAnsi="Arial" w:cs="Arial"/>
          <w:sz w:val="22"/>
          <w:szCs w:val="22"/>
        </w:rPr>
        <w:t>MotorCity's</w:t>
      </w:r>
      <w:proofErr w:type="spellEnd"/>
      <w:r w:rsidRPr="00F442A5">
        <w:rPr>
          <w:rFonts w:ascii="Arial" w:hAnsi="Arial" w:cs="Arial"/>
          <w:sz w:val="22"/>
          <w:szCs w:val="22"/>
        </w:rPr>
        <w:t xml:space="preserve"> December revenue was up 284.9% to $35 million, and Greektown monthly revenue was up 365.9% to $25 million compared with December 2020.</w:t>
      </w:r>
    </w:p>
    <w:p w14:paraId="5F499DF1" w14:textId="77777777" w:rsidR="00F442A5" w:rsidRPr="0051102D" w:rsidRDefault="00F442A5" w:rsidP="00F442A5">
      <w:pPr>
        <w:rPr>
          <w:rFonts w:ascii="Arial" w:hAnsi="Arial" w:cs="Arial"/>
          <w:sz w:val="16"/>
          <w:szCs w:val="16"/>
        </w:rPr>
      </w:pPr>
    </w:p>
    <w:p w14:paraId="29490AF4" w14:textId="6C1EC474" w:rsidR="00F442A5" w:rsidRPr="00F442A5" w:rsidRDefault="00F442A5" w:rsidP="00F442A5">
      <w:pPr>
        <w:rPr>
          <w:rFonts w:ascii="Arial" w:hAnsi="Arial" w:cs="Arial"/>
          <w:sz w:val="22"/>
          <w:szCs w:val="22"/>
        </w:rPr>
      </w:pPr>
      <w:r w:rsidRPr="00F442A5">
        <w:rPr>
          <w:rFonts w:ascii="Arial" w:hAnsi="Arial" w:cs="Arial"/>
          <w:sz w:val="22"/>
          <w:szCs w:val="22"/>
        </w:rPr>
        <w:t>During December, the three Detroit casinos paid $9 million in wagering taxes to the State of Michigan compared with $1.8 million paid in December 2020.</w:t>
      </w:r>
      <w:r w:rsidR="0051102D">
        <w:rPr>
          <w:rFonts w:ascii="Arial" w:hAnsi="Arial" w:cs="Arial"/>
          <w:sz w:val="22"/>
          <w:szCs w:val="22"/>
        </w:rPr>
        <w:t xml:space="preserve"> </w:t>
      </w:r>
      <w:r w:rsidRPr="00F442A5">
        <w:rPr>
          <w:rFonts w:ascii="Arial" w:hAnsi="Arial" w:cs="Arial"/>
          <w:sz w:val="22"/>
          <w:szCs w:val="22"/>
        </w:rPr>
        <w:t>The three Detroit casinos reported making $18.1 million in wagering taxes and development agreement payments to the City of Detroit in December.</w:t>
      </w:r>
    </w:p>
    <w:p w14:paraId="0ED73BE6" w14:textId="77777777" w:rsidR="00F442A5" w:rsidRPr="0051102D" w:rsidRDefault="00F442A5" w:rsidP="00F442A5">
      <w:pPr>
        <w:rPr>
          <w:rFonts w:ascii="Arial" w:hAnsi="Arial" w:cs="Arial"/>
          <w:sz w:val="16"/>
          <w:szCs w:val="16"/>
        </w:rPr>
      </w:pPr>
    </w:p>
    <w:p w14:paraId="72360BA7" w14:textId="77777777" w:rsidR="00F442A5" w:rsidRPr="00F442A5" w:rsidRDefault="00F442A5" w:rsidP="00F442A5">
      <w:pPr>
        <w:rPr>
          <w:rFonts w:ascii="Arial" w:hAnsi="Arial" w:cs="Arial"/>
          <w:b/>
          <w:bCs/>
          <w:sz w:val="22"/>
          <w:szCs w:val="22"/>
        </w:rPr>
      </w:pPr>
      <w:r w:rsidRPr="00F442A5">
        <w:rPr>
          <w:rFonts w:ascii="Arial" w:hAnsi="Arial" w:cs="Arial"/>
          <w:b/>
          <w:bCs/>
          <w:sz w:val="22"/>
          <w:szCs w:val="22"/>
        </w:rPr>
        <w:t>Retail Sports Betting Revenue and Taxes - December</w:t>
      </w:r>
    </w:p>
    <w:p w14:paraId="1E69FDC8" w14:textId="720731B9" w:rsidR="00F442A5" w:rsidRDefault="00F442A5" w:rsidP="00F442A5">
      <w:pPr>
        <w:rPr>
          <w:rFonts w:ascii="Arial" w:hAnsi="Arial" w:cs="Arial"/>
          <w:sz w:val="22"/>
          <w:szCs w:val="22"/>
        </w:rPr>
      </w:pPr>
      <w:r w:rsidRPr="00F442A5">
        <w:rPr>
          <w:rFonts w:ascii="Arial" w:hAnsi="Arial" w:cs="Arial"/>
          <w:sz w:val="22"/>
          <w:szCs w:val="22"/>
        </w:rPr>
        <w:t>Retail sports betting qualified adjusted gross receipts (QAGR) $1.1 million fell 41.3% in December compared with December 2020 results.  The breakdown by casino was:</w:t>
      </w:r>
    </w:p>
    <w:p w14:paraId="190B7F72" w14:textId="77777777" w:rsidR="0051102D" w:rsidRPr="0051102D" w:rsidRDefault="0051102D" w:rsidP="00F442A5">
      <w:pPr>
        <w:rPr>
          <w:rFonts w:ascii="Arial" w:hAnsi="Arial" w:cs="Arial"/>
          <w:sz w:val="16"/>
          <w:szCs w:val="16"/>
        </w:rPr>
      </w:pPr>
    </w:p>
    <w:p w14:paraId="63399BB9" w14:textId="77777777" w:rsidR="00F442A5" w:rsidRPr="00F442A5" w:rsidRDefault="00F442A5" w:rsidP="00F442A5">
      <w:pPr>
        <w:pStyle w:val="ListParagraph"/>
        <w:numPr>
          <w:ilvl w:val="0"/>
          <w:numId w:val="9"/>
        </w:numPr>
        <w:spacing w:after="160" w:line="259" w:lineRule="auto"/>
        <w:rPr>
          <w:rFonts w:cs="Arial"/>
          <w:szCs w:val="22"/>
        </w:rPr>
      </w:pPr>
      <w:r w:rsidRPr="00F442A5">
        <w:rPr>
          <w:rFonts w:cs="Arial"/>
          <w:szCs w:val="22"/>
        </w:rPr>
        <w:t>MGM, $631,703</w:t>
      </w:r>
    </w:p>
    <w:p w14:paraId="3417FFA5" w14:textId="77777777" w:rsidR="00F442A5" w:rsidRPr="00F442A5" w:rsidRDefault="00F442A5" w:rsidP="00F442A5">
      <w:pPr>
        <w:pStyle w:val="ListParagraph"/>
        <w:numPr>
          <w:ilvl w:val="0"/>
          <w:numId w:val="9"/>
        </w:numPr>
        <w:spacing w:after="160" w:line="259" w:lineRule="auto"/>
        <w:rPr>
          <w:rFonts w:cs="Arial"/>
          <w:szCs w:val="22"/>
        </w:rPr>
      </w:pPr>
      <w:r w:rsidRPr="00F442A5">
        <w:rPr>
          <w:rFonts w:cs="Arial"/>
          <w:szCs w:val="22"/>
        </w:rPr>
        <w:t>MotorCity, -$150,664</w:t>
      </w:r>
    </w:p>
    <w:p w14:paraId="17B724F3" w14:textId="77777777" w:rsidR="00F442A5" w:rsidRPr="00F442A5" w:rsidRDefault="00F442A5" w:rsidP="00F442A5">
      <w:pPr>
        <w:pStyle w:val="ListParagraph"/>
        <w:numPr>
          <w:ilvl w:val="0"/>
          <w:numId w:val="9"/>
        </w:numPr>
        <w:spacing w:after="160" w:line="259" w:lineRule="auto"/>
        <w:rPr>
          <w:rFonts w:cs="Arial"/>
          <w:szCs w:val="22"/>
        </w:rPr>
      </w:pPr>
      <w:r w:rsidRPr="00F442A5">
        <w:rPr>
          <w:rFonts w:cs="Arial"/>
          <w:szCs w:val="22"/>
        </w:rPr>
        <w:t>Greektown, $624,849</w:t>
      </w:r>
    </w:p>
    <w:p w14:paraId="6811471B" w14:textId="3C7F306F" w:rsidR="00F442A5" w:rsidRDefault="00F442A5" w:rsidP="00F442A5">
      <w:pPr>
        <w:rPr>
          <w:rFonts w:ascii="Arial" w:hAnsi="Arial" w:cs="Arial"/>
          <w:sz w:val="22"/>
          <w:szCs w:val="22"/>
        </w:rPr>
      </w:pPr>
      <w:r w:rsidRPr="00F442A5">
        <w:rPr>
          <w:rFonts w:ascii="Arial" w:hAnsi="Arial" w:cs="Arial"/>
          <w:sz w:val="22"/>
          <w:szCs w:val="22"/>
        </w:rPr>
        <w:t xml:space="preserve">Total handle was $30,071,942, and total gross receipts were $1,155,678.  </w:t>
      </w:r>
    </w:p>
    <w:p w14:paraId="7671F527" w14:textId="77777777" w:rsidR="00F442A5" w:rsidRPr="0051102D" w:rsidRDefault="00F442A5" w:rsidP="00F442A5">
      <w:pPr>
        <w:rPr>
          <w:rFonts w:ascii="Arial" w:hAnsi="Arial" w:cs="Arial"/>
          <w:sz w:val="16"/>
          <w:szCs w:val="16"/>
        </w:rPr>
      </w:pPr>
    </w:p>
    <w:p w14:paraId="79E1C5ED" w14:textId="72219814" w:rsidR="00F442A5" w:rsidRPr="00F442A5" w:rsidRDefault="00F442A5" w:rsidP="00F442A5">
      <w:pPr>
        <w:rPr>
          <w:rFonts w:ascii="Arial" w:hAnsi="Arial" w:cs="Arial"/>
          <w:sz w:val="22"/>
          <w:szCs w:val="22"/>
        </w:rPr>
      </w:pPr>
      <w:r w:rsidRPr="00F442A5">
        <w:rPr>
          <w:rFonts w:ascii="Arial" w:hAnsi="Arial" w:cs="Arial"/>
          <w:sz w:val="22"/>
          <w:szCs w:val="22"/>
        </w:rPr>
        <w:t>The State of Michigan received $47,498 in taxes, and the three Detroit casinos reported submitting $58,053 in retail sports betting taxes to the City of Detroit.</w:t>
      </w:r>
    </w:p>
    <w:p w14:paraId="0DD439F2" w14:textId="77777777" w:rsidR="00F442A5" w:rsidRPr="0051102D" w:rsidRDefault="00F442A5" w:rsidP="00F442A5">
      <w:pPr>
        <w:rPr>
          <w:rFonts w:ascii="Arial" w:hAnsi="Arial" w:cs="Arial"/>
          <w:sz w:val="16"/>
          <w:szCs w:val="16"/>
        </w:rPr>
      </w:pPr>
    </w:p>
    <w:p w14:paraId="6572FD3F" w14:textId="77777777" w:rsidR="00F442A5" w:rsidRPr="00F442A5" w:rsidRDefault="00F442A5" w:rsidP="00F442A5">
      <w:pPr>
        <w:rPr>
          <w:rFonts w:ascii="Arial" w:hAnsi="Arial" w:cs="Arial"/>
          <w:b/>
          <w:bCs/>
          <w:sz w:val="22"/>
          <w:szCs w:val="22"/>
        </w:rPr>
      </w:pPr>
      <w:r w:rsidRPr="00F442A5">
        <w:rPr>
          <w:rFonts w:ascii="Arial" w:hAnsi="Arial" w:cs="Arial"/>
          <w:b/>
          <w:bCs/>
          <w:sz w:val="22"/>
          <w:szCs w:val="22"/>
        </w:rPr>
        <w:t>Fourth Quarter Table Games and Slot Revenue and Taxes</w:t>
      </w:r>
    </w:p>
    <w:p w14:paraId="076A4650" w14:textId="0CD6C96A" w:rsidR="00F442A5" w:rsidRDefault="00F442A5" w:rsidP="00F442A5">
      <w:pPr>
        <w:rPr>
          <w:rFonts w:ascii="Arial" w:hAnsi="Arial" w:cs="Arial"/>
          <w:sz w:val="22"/>
          <w:szCs w:val="22"/>
        </w:rPr>
      </w:pPr>
      <w:r w:rsidRPr="00F442A5">
        <w:rPr>
          <w:rFonts w:ascii="Arial" w:hAnsi="Arial" w:cs="Arial"/>
          <w:sz w:val="22"/>
          <w:szCs w:val="22"/>
        </w:rPr>
        <w:t>The three Detroit casinos' fourth quarter aggregate revenue was up 99.3% compared to the fourth quarter of 2020 when the casinos were closed from Nov. 18 through Dec. 23.  Quarterly gaming revenue for MGM was up 131.4% to $152.3 million, MotorCity saw a 67% increase to $105 million and Greektown reported a 97% increase to $69.4 million.</w:t>
      </w:r>
    </w:p>
    <w:p w14:paraId="26F99EE2" w14:textId="77777777" w:rsidR="00F442A5" w:rsidRPr="0051102D" w:rsidRDefault="00F442A5" w:rsidP="00F442A5">
      <w:pPr>
        <w:rPr>
          <w:rFonts w:ascii="Arial" w:hAnsi="Arial" w:cs="Arial"/>
          <w:sz w:val="16"/>
          <w:szCs w:val="16"/>
        </w:rPr>
      </w:pPr>
    </w:p>
    <w:p w14:paraId="1318182C" w14:textId="5151007E" w:rsidR="00F442A5" w:rsidRDefault="00F442A5" w:rsidP="00F442A5">
      <w:pPr>
        <w:rPr>
          <w:rFonts w:ascii="Arial" w:hAnsi="Arial" w:cs="Arial"/>
          <w:sz w:val="22"/>
          <w:szCs w:val="22"/>
        </w:rPr>
      </w:pPr>
      <w:r w:rsidRPr="00F442A5">
        <w:rPr>
          <w:rFonts w:ascii="Arial" w:hAnsi="Arial" w:cs="Arial"/>
          <w:sz w:val="22"/>
          <w:szCs w:val="22"/>
        </w:rPr>
        <w:t>For the quarter ended December 2021, the three Detroit casinos paid $26.5 million in gaming taxes to the state compared with $13.3 million for the same period last year.</w:t>
      </w:r>
    </w:p>
    <w:p w14:paraId="2B8CCB0D" w14:textId="77777777" w:rsidR="00F442A5" w:rsidRPr="0051102D" w:rsidRDefault="00F442A5" w:rsidP="00F442A5">
      <w:pPr>
        <w:rPr>
          <w:rFonts w:ascii="Arial" w:hAnsi="Arial" w:cs="Arial"/>
          <w:sz w:val="16"/>
          <w:szCs w:val="16"/>
        </w:rPr>
      </w:pPr>
    </w:p>
    <w:p w14:paraId="1E6410CD" w14:textId="77777777" w:rsidR="00F442A5" w:rsidRPr="00F442A5" w:rsidRDefault="00F442A5" w:rsidP="00F442A5">
      <w:pPr>
        <w:rPr>
          <w:rFonts w:ascii="Arial" w:hAnsi="Arial" w:cs="Arial"/>
          <w:b/>
          <w:bCs/>
          <w:sz w:val="22"/>
          <w:szCs w:val="22"/>
        </w:rPr>
      </w:pPr>
      <w:r w:rsidRPr="00F442A5">
        <w:rPr>
          <w:rFonts w:ascii="Arial" w:hAnsi="Arial" w:cs="Arial"/>
          <w:b/>
          <w:bCs/>
          <w:sz w:val="22"/>
          <w:szCs w:val="22"/>
        </w:rPr>
        <w:t>Fantasy Contests</w:t>
      </w:r>
    </w:p>
    <w:p w14:paraId="7FE54084" w14:textId="6924E7FE" w:rsidR="00F442A5" w:rsidRDefault="00F442A5" w:rsidP="00F442A5">
      <w:pPr>
        <w:rPr>
          <w:rFonts w:ascii="Arial" w:hAnsi="Arial" w:cs="Arial"/>
          <w:sz w:val="22"/>
          <w:szCs w:val="22"/>
        </w:rPr>
      </w:pPr>
      <w:r w:rsidRPr="00F442A5">
        <w:rPr>
          <w:rFonts w:ascii="Arial" w:hAnsi="Arial" w:cs="Arial"/>
          <w:sz w:val="22"/>
          <w:szCs w:val="22"/>
        </w:rPr>
        <w:t>During November, fantasy contest operators reported total adjusted revenues of $1.5 million and paid taxes of $127,348.</w:t>
      </w:r>
    </w:p>
    <w:p w14:paraId="47E4E23A" w14:textId="77777777" w:rsidR="0051102D" w:rsidRPr="0051102D" w:rsidRDefault="0051102D" w:rsidP="00F442A5">
      <w:pPr>
        <w:rPr>
          <w:rFonts w:ascii="Arial" w:hAnsi="Arial" w:cs="Arial"/>
          <w:sz w:val="16"/>
          <w:szCs w:val="16"/>
        </w:rPr>
      </w:pPr>
    </w:p>
    <w:p w14:paraId="18E90310" w14:textId="77777777" w:rsidR="00F442A5" w:rsidRPr="00F442A5" w:rsidRDefault="00F442A5" w:rsidP="00F442A5">
      <w:pPr>
        <w:rPr>
          <w:rFonts w:ascii="Arial" w:hAnsi="Arial" w:cs="Arial"/>
          <w:sz w:val="22"/>
          <w:szCs w:val="22"/>
        </w:rPr>
      </w:pPr>
      <w:r w:rsidRPr="00F442A5">
        <w:rPr>
          <w:rFonts w:ascii="Arial" w:hAnsi="Arial" w:cs="Arial"/>
          <w:sz w:val="22"/>
          <w:szCs w:val="22"/>
        </w:rPr>
        <w:t>Through November 30, fantasy contest operators reported $15.4 million in aggregate fantasy contest adjusted revenues and paid $1.3 million in taxes to the state in 2021.</w:t>
      </w:r>
    </w:p>
    <w:p w14:paraId="67F17CAC" w14:textId="77777777" w:rsidR="00345C74" w:rsidRPr="0051102D" w:rsidRDefault="00345C74" w:rsidP="00345C74">
      <w:pPr>
        <w:rPr>
          <w:rFonts w:ascii="Arial" w:hAnsi="Arial" w:cs="Arial"/>
          <w:sz w:val="16"/>
          <w:szCs w:val="16"/>
        </w:rPr>
      </w:pPr>
    </w:p>
    <w:p w14:paraId="07AFB230" w14:textId="77777777" w:rsidR="0051102D" w:rsidRDefault="00345C74" w:rsidP="0051102D">
      <w:pPr>
        <w:rPr>
          <w:rStyle w:val="Emphasis"/>
          <w:rFonts w:ascii="Arial" w:hAnsi="Arial" w:cs="Arial"/>
          <w:color w:val="333333"/>
          <w:sz w:val="16"/>
          <w:szCs w:val="16"/>
          <w:lang w:val="en"/>
        </w:rPr>
      </w:pPr>
      <w:r w:rsidRPr="0051102D">
        <w:rPr>
          <w:color w:val="333333"/>
          <w:sz w:val="16"/>
          <w:szCs w:val="16"/>
          <w:lang w:val="en"/>
        </w:rPr>
        <w:t>"</w:t>
      </w:r>
      <w:r w:rsidRPr="0051102D">
        <w:rPr>
          <w:rStyle w:val="Emphasis"/>
          <w:rFonts w:ascii="Arial" w:hAnsi="Arial" w:cs="Arial"/>
          <w:color w:val="333333"/>
          <w:sz w:val="16"/>
          <w:szCs w:val="16"/>
          <w:lang w:val="en"/>
        </w:rPr>
        <w:t>The Michigan Gaming Control Board shall ensure the conduct of fair and honest gaming to protect the interests of the citizens of the State of Michigan."</w:t>
      </w:r>
    </w:p>
    <w:p w14:paraId="3F0713FF" w14:textId="752AD80F" w:rsidR="0031474A" w:rsidRPr="0051102D" w:rsidRDefault="0031474A" w:rsidP="0051102D">
      <w:pPr>
        <w:jc w:val="center"/>
        <w:rPr>
          <w:rFonts w:ascii="Arial" w:eastAsia="Calibri" w:hAnsi="Arial" w:cs="Arial"/>
          <w:sz w:val="16"/>
          <w:szCs w:val="16"/>
        </w:rPr>
      </w:pPr>
      <w:r w:rsidRPr="0051102D">
        <w:rPr>
          <w:rFonts w:ascii="Arial" w:eastAsia="Calibri" w:hAnsi="Arial" w:cs="Arial"/>
          <w:sz w:val="16"/>
          <w:szCs w:val="16"/>
        </w:rPr>
        <w:t>####</w:t>
      </w:r>
    </w:p>
    <w:sectPr w:rsidR="0031474A" w:rsidRPr="0051102D" w:rsidSect="00966852">
      <w:pgSz w:w="12240" w:h="15840" w:code="1"/>
      <w:pgMar w:top="720" w:right="1440" w:bottom="994" w:left="1800" w:header="288" w:footer="288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B261" w14:textId="77777777" w:rsidR="00854E9D" w:rsidRDefault="00854E9D">
      <w:r>
        <w:separator/>
      </w:r>
    </w:p>
  </w:endnote>
  <w:endnote w:type="continuationSeparator" w:id="0">
    <w:p w14:paraId="57D40854" w14:textId="77777777" w:rsidR="00854E9D" w:rsidRDefault="008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CF60" w14:textId="77777777" w:rsidR="00854E9D" w:rsidRDefault="00854E9D">
      <w:r>
        <w:separator/>
      </w:r>
    </w:p>
  </w:footnote>
  <w:footnote w:type="continuationSeparator" w:id="0">
    <w:p w14:paraId="2FAB7106" w14:textId="77777777" w:rsidR="00854E9D" w:rsidRDefault="0085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292"/>
    <w:multiLevelType w:val="hybridMultilevel"/>
    <w:tmpl w:val="128E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F41"/>
    <w:multiLevelType w:val="hybridMultilevel"/>
    <w:tmpl w:val="A80A0DD2"/>
    <w:lvl w:ilvl="0" w:tplc="311A128C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18F071D6"/>
    <w:multiLevelType w:val="hybridMultilevel"/>
    <w:tmpl w:val="C56E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182A"/>
    <w:multiLevelType w:val="hybridMultilevel"/>
    <w:tmpl w:val="C56EAB2C"/>
    <w:lvl w:ilvl="0" w:tplc="311A1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76769"/>
    <w:multiLevelType w:val="hybridMultilevel"/>
    <w:tmpl w:val="DDE2D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431520"/>
    <w:multiLevelType w:val="hybridMultilevel"/>
    <w:tmpl w:val="4AC4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E7477"/>
    <w:multiLevelType w:val="hybridMultilevel"/>
    <w:tmpl w:val="E32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B5A8F"/>
    <w:multiLevelType w:val="hybridMultilevel"/>
    <w:tmpl w:val="0DAE4A44"/>
    <w:lvl w:ilvl="0" w:tplc="8D849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A6984"/>
    <w:multiLevelType w:val="hybridMultilevel"/>
    <w:tmpl w:val="F438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D8"/>
    <w:rsid w:val="00035E72"/>
    <w:rsid w:val="00037725"/>
    <w:rsid w:val="00037D1E"/>
    <w:rsid w:val="00043E27"/>
    <w:rsid w:val="0006018C"/>
    <w:rsid w:val="000657D2"/>
    <w:rsid w:val="0007415A"/>
    <w:rsid w:val="000904B6"/>
    <w:rsid w:val="00091870"/>
    <w:rsid w:val="00097CE1"/>
    <w:rsid w:val="000A2A94"/>
    <w:rsid w:val="000A5DCC"/>
    <w:rsid w:val="000A70CB"/>
    <w:rsid w:val="000B194B"/>
    <w:rsid w:val="000B5B66"/>
    <w:rsid w:val="000C08D8"/>
    <w:rsid w:val="000C39A3"/>
    <w:rsid w:val="000E4135"/>
    <w:rsid w:val="000E4EE9"/>
    <w:rsid w:val="000F1832"/>
    <w:rsid w:val="000F25E0"/>
    <w:rsid w:val="001043ED"/>
    <w:rsid w:val="0010579D"/>
    <w:rsid w:val="00123D20"/>
    <w:rsid w:val="00125DAA"/>
    <w:rsid w:val="00134833"/>
    <w:rsid w:val="00137256"/>
    <w:rsid w:val="00150EA5"/>
    <w:rsid w:val="001541B3"/>
    <w:rsid w:val="00160198"/>
    <w:rsid w:val="00164F0F"/>
    <w:rsid w:val="00176957"/>
    <w:rsid w:val="00177AB2"/>
    <w:rsid w:val="00186419"/>
    <w:rsid w:val="00196FFE"/>
    <w:rsid w:val="001B7774"/>
    <w:rsid w:val="001D38BE"/>
    <w:rsid w:val="001F1F73"/>
    <w:rsid w:val="00200EE6"/>
    <w:rsid w:val="00202BD1"/>
    <w:rsid w:val="002164BB"/>
    <w:rsid w:val="00231171"/>
    <w:rsid w:val="00266369"/>
    <w:rsid w:val="00267877"/>
    <w:rsid w:val="00280D28"/>
    <w:rsid w:val="002901F8"/>
    <w:rsid w:val="002C7198"/>
    <w:rsid w:val="002D214E"/>
    <w:rsid w:val="002D745A"/>
    <w:rsid w:val="002E73D0"/>
    <w:rsid w:val="002F50BF"/>
    <w:rsid w:val="002F53A8"/>
    <w:rsid w:val="00302E6E"/>
    <w:rsid w:val="003057BF"/>
    <w:rsid w:val="0031474A"/>
    <w:rsid w:val="00322E79"/>
    <w:rsid w:val="00325554"/>
    <w:rsid w:val="00345C74"/>
    <w:rsid w:val="00356E90"/>
    <w:rsid w:val="00362093"/>
    <w:rsid w:val="003826A4"/>
    <w:rsid w:val="00382D2D"/>
    <w:rsid w:val="003B2AC6"/>
    <w:rsid w:val="003B3A36"/>
    <w:rsid w:val="003C5F29"/>
    <w:rsid w:val="003E239D"/>
    <w:rsid w:val="003F4455"/>
    <w:rsid w:val="0040761D"/>
    <w:rsid w:val="00432433"/>
    <w:rsid w:val="0043685B"/>
    <w:rsid w:val="00483B2F"/>
    <w:rsid w:val="004A5E4C"/>
    <w:rsid w:val="004C4EC2"/>
    <w:rsid w:val="004D58F7"/>
    <w:rsid w:val="0051102D"/>
    <w:rsid w:val="0051294F"/>
    <w:rsid w:val="005323F4"/>
    <w:rsid w:val="0056091F"/>
    <w:rsid w:val="005810E3"/>
    <w:rsid w:val="005867F6"/>
    <w:rsid w:val="0059519D"/>
    <w:rsid w:val="005A3319"/>
    <w:rsid w:val="005C4D56"/>
    <w:rsid w:val="005D467C"/>
    <w:rsid w:val="005E597F"/>
    <w:rsid w:val="005E5F60"/>
    <w:rsid w:val="005F181E"/>
    <w:rsid w:val="005F473C"/>
    <w:rsid w:val="00611517"/>
    <w:rsid w:val="006123C4"/>
    <w:rsid w:val="00615F7A"/>
    <w:rsid w:val="00643932"/>
    <w:rsid w:val="00647E03"/>
    <w:rsid w:val="00651BB5"/>
    <w:rsid w:val="00652BF0"/>
    <w:rsid w:val="006626DE"/>
    <w:rsid w:val="00665BA6"/>
    <w:rsid w:val="00683645"/>
    <w:rsid w:val="006A7BD8"/>
    <w:rsid w:val="006B48F2"/>
    <w:rsid w:val="006D5C9E"/>
    <w:rsid w:val="006D6401"/>
    <w:rsid w:val="006E3941"/>
    <w:rsid w:val="00713CC7"/>
    <w:rsid w:val="007160F6"/>
    <w:rsid w:val="00716ED8"/>
    <w:rsid w:val="00730A0A"/>
    <w:rsid w:val="0074376E"/>
    <w:rsid w:val="00763690"/>
    <w:rsid w:val="00764B43"/>
    <w:rsid w:val="00772E7E"/>
    <w:rsid w:val="007779A3"/>
    <w:rsid w:val="00780C82"/>
    <w:rsid w:val="00783A60"/>
    <w:rsid w:val="00790432"/>
    <w:rsid w:val="007D1C56"/>
    <w:rsid w:val="007E1545"/>
    <w:rsid w:val="007F47B0"/>
    <w:rsid w:val="007F5418"/>
    <w:rsid w:val="00804693"/>
    <w:rsid w:val="008170B7"/>
    <w:rsid w:val="008206E8"/>
    <w:rsid w:val="008410C2"/>
    <w:rsid w:val="00854E9D"/>
    <w:rsid w:val="00857A92"/>
    <w:rsid w:val="008633DE"/>
    <w:rsid w:val="008A14CA"/>
    <w:rsid w:val="008C6B8B"/>
    <w:rsid w:val="008D6714"/>
    <w:rsid w:val="008E6C63"/>
    <w:rsid w:val="00914303"/>
    <w:rsid w:val="00930430"/>
    <w:rsid w:val="009373B9"/>
    <w:rsid w:val="00944AEA"/>
    <w:rsid w:val="00966852"/>
    <w:rsid w:val="00970643"/>
    <w:rsid w:val="00983E3B"/>
    <w:rsid w:val="00987986"/>
    <w:rsid w:val="009909B0"/>
    <w:rsid w:val="00991081"/>
    <w:rsid w:val="009A2604"/>
    <w:rsid w:val="009C4E5B"/>
    <w:rsid w:val="009C7A47"/>
    <w:rsid w:val="009E390D"/>
    <w:rsid w:val="009E4529"/>
    <w:rsid w:val="00A056A9"/>
    <w:rsid w:val="00A172AD"/>
    <w:rsid w:val="00A26FB6"/>
    <w:rsid w:val="00A41C53"/>
    <w:rsid w:val="00A45E57"/>
    <w:rsid w:val="00A559BD"/>
    <w:rsid w:val="00A76EA6"/>
    <w:rsid w:val="00AA356F"/>
    <w:rsid w:val="00AB50FF"/>
    <w:rsid w:val="00AD6F7A"/>
    <w:rsid w:val="00AE0251"/>
    <w:rsid w:val="00AE199B"/>
    <w:rsid w:val="00AE30DD"/>
    <w:rsid w:val="00B00A5D"/>
    <w:rsid w:val="00B040C4"/>
    <w:rsid w:val="00B174AE"/>
    <w:rsid w:val="00B235F8"/>
    <w:rsid w:val="00B6561B"/>
    <w:rsid w:val="00B8224B"/>
    <w:rsid w:val="00B86CD2"/>
    <w:rsid w:val="00BB1039"/>
    <w:rsid w:val="00BB4CA4"/>
    <w:rsid w:val="00BC0787"/>
    <w:rsid w:val="00BC75DD"/>
    <w:rsid w:val="00BF0F9E"/>
    <w:rsid w:val="00BF0FF5"/>
    <w:rsid w:val="00BF2368"/>
    <w:rsid w:val="00C10F64"/>
    <w:rsid w:val="00C12EA3"/>
    <w:rsid w:val="00C24ECF"/>
    <w:rsid w:val="00C574E9"/>
    <w:rsid w:val="00C63A6A"/>
    <w:rsid w:val="00C67DC7"/>
    <w:rsid w:val="00C751B2"/>
    <w:rsid w:val="00C92BD4"/>
    <w:rsid w:val="00CC0E8B"/>
    <w:rsid w:val="00CC44D2"/>
    <w:rsid w:val="00CE4165"/>
    <w:rsid w:val="00CE74F3"/>
    <w:rsid w:val="00D0524A"/>
    <w:rsid w:val="00D116C0"/>
    <w:rsid w:val="00D303A8"/>
    <w:rsid w:val="00D3095C"/>
    <w:rsid w:val="00D47EAD"/>
    <w:rsid w:val="00D5102B"/>
    <w:rsid w:val="00D57A5E"/>
    <w:rsid w:val="00D75340"/>
    <w:rsid w:val="00D820E8"/>
    <w:rsid w:val="00D8529A"/>
    <w:rsid w:val="00DB0E29"/>
    <w:rsid w:val="00DC4F1E"/>
    <w:rsid w:val="00E21582"/>
    <w:rsid w:val="00E228C6"/>
    <w:rsid w:val="00E4511B"/>
    <w:rsid w:val="00E45ED4"/>
    <w:rsid w:val="00E53C49"/>
    <w:rsid w:val="00E65718"/>
    <w:rsid w:val="00E75755"/>
    <w:rsid w:val="00E90FE3"/>
    <w:rsid w:val="00E9539F"/>
    <w:rsid w:val="00EB0339"/>
    <w:rsid w:val="00EB5124"/>
    <w:rsid w:val="00EC47D5"/>
    <w:rsid w:val="00EF32BC"/>
    <w:rsid w:val="00F115CC"/>
    <w:rsid w:val="00F40E01"/>
    <w:rsid w:val="00F442A5"/>
    <w:rsid w:val="00F76105"/>
    <w:rsid w:val="00F82087"/>
    <w:rsid w:val="00F86130"/>
    <w:rsid w:val="00F95395"/>
    <w:rsid w:val="00FB3743"/>
    <w:rsid w:val="00FC5B6F"/>
    <w:rsid w:val="00FC7072"/>
    <w:rsid w:val="00FE457F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33561"/>
  <w15:chartTrackingRefBased/>
  <w15:docId w15:val="{E712FC09-DA98-4CAE-ADC8-67C97B6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2733"/>
      <w:outlineLvl w:val="1"/>
    </w:pPr>
    <w:rPr>
      <w:rFonts w:ascii="Arial" w:hAnsi="Arial" w:cs="Arial"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</w:pPr>
    <w:rPr>
      <w:sz w:val="28"/>
      <w:szCs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Verdana" w:hAnsi="Verdana"/>
    </w:rPr>
  </w:style>
  <w:style w:type="paragraph" w:styleId="BalloonText">
    <w:name w:val="Balloon Text"/>
    <w:basedOn w:val="Normal"/>
    <w:semiHidden/>
    <w:rsid w:val="00356E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77AB2"/>
    <w:rPr>
      <w:rFonts w:ascii="Verdana" w:hAnsi="Verdana"/>
      <w:b/>
      <w:bCs/>
      <w:color w:val="000000"/>
      <w:spacing w:val="-20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44A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4AE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45C74"/>
    <w:pPr>
      <w:spacing w:after="120" w:line="360" w:lineRule="auto"/>
      <w:ind w:left="720"/>
      <w:contextualSpacing/>
    </w:pPr>
    <w:rPr>
      <w:rFonts w:ascii="Arial" w:hAnsi="Arial"/>
      <w:sz w:val="22"/>
      <w:szCs w:val="20"/>
    </w:rPr>
  </w:style>
  <w:style w:type="character" w:styleId="Emphasis">
    <w:name w:val="Emphasis"/>
    <w:uiPriority w:val="20"/>
    <w:qFormat/>
    <w:rsid w:val="00345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MGCB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busherit</dc:creator>
  <cp:keywords/>
  <cp:lastModifiedBy>Bean, Mary Kay (MGCB)</cp:lastModifiedBy>
  <cp:revision>3</cp:revision>
  <cp:lastPrinted>2014-01-09T22:05:00Z</cp:lastPrinted>
  <dcterms:created xsi:type="dcterms:W3CDTF">2022-01-10T21:53:00Z</dcterms:created>
  <dcterms:modified xsi:type="dcterms:W3CDTF">2022-01-10T22:01:00Z</dcterms:modified>
</cp:coreProperties>
</file>