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547"/>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4"/>
        <w:gridCol w:w="7028"/>
      </w:tblGrid>
      <w:tr w:rsidR="00716ED8" w14:paraId="3B3D72A9" w14:textId="77777777" w:rsidTr="006C500A">
        <w:trPr>
          <w:trHeight w:val="1343"/>
        </w:trPr>
        <w:tc>
          <w:tcPr>
            <w:tcW w:w="2044" w:type="dxa"/>
          </w:tcPr>
          <w:p w14:paraId="62622B89" w14:textId="4B95132F" w:rsidR="00716ED8" w:rsidRDefault="002E64D5" w:rsidP="006C500A">
            <w:pPr>
              <w:jc w:val="center"/>
              <w:rPr>
                <w:rStyle w:val="Hyperlink"/>
              </w:rPr>
            </w:pPr>
            <w:r>
              <w:rPr>
                <w:noProof/>
              </w:rPr>
              <w:drawing>
                <wp:inline distT="0" distB="0" distL="0" distR="0" wp14:anchorId="2485C7CD" wp14:editId="7A37D937">
                  <wp:extent cx="990600" cy="807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807720"/>
                          </a:xfrm>
                          <a:prstGeom prst="rect">
                            <a:avLst/>
                          </a:prstGeom>
                          <a:noFill/>
                          <a:ln>
                            <a:noFill/>
                          </a:ln>
                        </pic:spPr>
                      </pic:pic>
                    </a:graphicData>
                  </a:graphic>
                </wp:inline>
              </w:drawing>
            </w:r>
          </w:p>
        </w:tc>
        <w:tc>
          <w:tcPr>
            <w:tcW w:w="7028" w:type="dxa"/>
            <w:vAlign w:val="center"/>
          </w:tcPr>
          <w:p w14:paraId="6B2D12F7" w14:textId="77777777" w:rsidR="00716ED8" w:rsidRPr="0056091F" w:rsidRDefault="00716ED8">
            <w:pPr>
              <w:pStyle w:val="Heading2"/>
              <w:framePr w:hSpace="0" w:wrap="auto" w:vAnchor="margin" w:hAnchor="text" w:yAlign="inline"/>
              <w:rPr>
                <w:rStyle w:val="Hyperlink"/>
                <w:rFonts w:ascii="Microsoft Sans Serif" w:hAnsi="Microsoft Sans Serif" w:cs="Microsoft Sans Serif"/>
                <w:sz w:val="52"/>
                <w:szCs w:val="52"/>
              </w:rPr>
            </w:pPr>
            <w:r w:rsidRPr="0056091F">
              <w:rPr>
                <w:rFonts w:ascii="Microsoft Sans Serif" w:hAnsi="Microsoft Sans Serif" w:cs="Microsoft Sans Serif"/>
                <w:sz w:val="52"/>
                <w:szCs w:val="52"/>
              </w:rPr>
              <w:t>PRESS RELEASE</w:t>
            </w:r>
          </w:p>
        </w:tc>
      </w:tr>
    </w:tbl>
    <w:p w14:paraId="3F648AA5" w14:textId="77777777" w:rsidR="00EC47D5" w:rsidRPr="0031474A" w:rsidRDefault="0031474A">
      <w:pPr>
        <w:jc w:val="center"/>
        <w:rPr>
          <w:rFonts w:ascii="Book Antiqua" w:hAnsi="Book Antiqua"/>
          <w:b/>
          <w:color w:val="FF0000"/>
          <w:sz w:val="56"/>
          <w:szCs w:val="56"/>
        </w:rPr>
      </w:pPr>
      <w:r w:rsidRPr="0031474A">
        <w:rPr>
          <w:rFonts w:ascii="Book Antiqua" w:hAnsi="Book Antiqua"/>
          <w:b/>
          <w:color w:val="FF0000"/>
          <w:sz w:val="56"/>
          <w:szCs w:val="56"/>
        </w:rPr>
        <w:t xml:space="preserve"> </w:t>
      </w:r>
    </w:p>
    <w:p w14:paraId="0F27C033" w14:textId="77777777" w:rsidR="00716ED8" w:rsidRPr="008E6C63" w:rsidRDefault="00716ED8">
      <w:pPr>
        <w:jc w:val="center"/>
        <w:rPr>
          <w:rFonts w:ascii="Book Antiqua" w:hAnsi="Book Antiqua"/>
          <w:b/>
          <w:sz w:val="52"/>
        </w:rPr>
      </w:pPr>
      <w:r w:rsidRPr="008E6C63">
        <w:rPr>
          <w:rFonts w:ascii="Book Antiqua" w:hAnsi="Book Antiqua"/>
          <w:b/>
          <w:sz w:val="52"/>
        </w:rPr>
        <w:t>Michigan Gaming Control Board</w:t>
      </w:r>
    </w:p>
    <w:p w14:paraId="0305195B" w14:textId="77777777" w:rsidR="00716ED8" w:rsidRPr="00790432" w:rsidRDefault="00716ED8">
      <w:pPr>
        <w:rPr>
          <w:rFonts w:ascii="Verdana" w:hAnsi="Verdana"/>
          <w:sz w:val="32"/>
          <w:szCs w:val="32"/>
        </w:rPr>
      </w:pPr>
    </w:p>
    <w:tbl>
      <w:tblPr>
        <w:tblW w:w="5000" w:type="pct"/>
        <w:jc w:val="center"/>
        <w:shd w:val="clear" w:color="auto" w:fill="FFCC99"/>
        <w:tblCellMar>
          <w:top w:w="60" w:type="dxa"/>
          <w:left w:w="60" w:type="dxa"/>
          <w:bottom w:w="60" w:type="dxa"/>
          <w:right w:w="60" w:type="dxa"/>
        </w:tblCellMar>
        <w:tblLook w:val="0000" w:firstRow="0" w:lastRow="0" w:firstColumn="0" w:lastColumn="0" w:noHBand="0" w:noVBand="0"/>
      </w:tblPr>
      <w:tblGrid>
        <w:gridCol w:w="4600"/>
        <w:gridCol w:w="4400"/>
      </w:tblGrid>
      <w:tr w:rsidR="00716ED8" w14:paraId="4E039AAE" w14:textId="77777777">
        <w:trPr>
          <w:jc w:val="center"/>
        </w:trPr>
        <w:tc>
          <w:tcPr>
            <w:tcW w:w="0" w:type="auto"/>
            <w:shd w:val="clear" w:color="auto" w:fill="FFCC99"/>
            <w:vAlign w:val="center"/>
          </w:tcPr>
          <w:p w14:paraId="75AA6DB4" w14:textId="75EE034B" w:rsidR="00716ED8" w:rsidRPr="0056091F" w:rsidRDefault="00716ED8" w:rsidP="00804693">
            <w:pPr>
              <w:rPr>
                <w:sz w:val="22"/>
                <w:szCs w:val="22"/>
              </w:rPr>
            </w:pPr>
            <w:r w:rsidRPr="0056091F">
              <w:rPr>
                <w:rStyle w:val="Strong"/>
                <w:rFonts w:ascii="Arial" w:hAnsi="Arial" w:cs="Arial"/>
                <w:sz w:val="22"/>
                <w:szCs w:val="22"/>
              </w:rPr>
              <w:t>FOR IMMEDIATE RELEASE:</w:t>
            </w:r>
            <w:r w:rsidRPr="0056091F">
              <w:rPr>
                <w:rStyle w:val="Strong"/>
                <w:sz w:val="22"/>
                <w:szCs w:val="22"/>
              </w:rPr>
              <w:t xml:space="preserve"> </w:t>
            </w:r>
            <w:r w:rsidRPr="0056091F">
              <w:rPr>
                <w:rFonts w:ascii="Arial" w:hAnsi="Arial" w:cs="Arial"/>
                <w:b/>
                <w:bCs/>
                <w:sz w:val="22"/>
                <w:szCs w:val="22"/>
              </w:rPr>
              <w:br/>
            </w:r>
            <w:r w:rsidR="006C500A">
              <w:rPr>
                <w:rFonts w:ascii="Verdana" w:hAnsi="Verdana"/>
                <w:b/>
                <w:bCs/>
                <w:sz w:val="22"/>
                <w:szCs w:val="22"/>
              </w:rPr>
              <w:t>October</w:t>
            </w:r>
            <w:r w:rsidR="00BC0787">
              <w:rPr>
                <w:rFonts w:ascii="Verdana" w:hAnsi="Verdana"/>
                <w:b/>
                <w:bCs/>
                <w:sz w:val="22"/>
                <w:szCs w:val="22"/>
              </w:rPr>
              <w:t xml:space="preserve"> </w:t>
            </w:r>
            <w:r w:rsidR="00F0197F">
              <w:rPr>
                <w:rFonts w:ascii="Verdana" w:hAnsi="Verdana"/>
                <w:b/>
                <w:bCs/>
                <w:sz w:val="22"/>
                <w:szCs w:val="22"/>
              </w:rPr>
              <w:t>14</w:t>
            </w:r>
            <w:r w:rsidR="00BC0787">
              <w:rPr>
                <w:rFonts w:ascii="Verdana" w:hAnsi="Verdana"/>
                <w:b/>
                <w:bCs/>
                <w:sz w:val="22"/>
                <w:szCs w:val="22"/>
              </w:rPr>
              <w:t>,</w:t>
            </w:r>
            <w:r w:rsidR="00B6561B">
              <w:rPr>
                <w:rFonts w:ascii="Verdana" w:hAnsi="Verdana"/>
                <w:b/>
                <w:bCs/>
                <w:sz w:val="22"/>
                <w:szCs w:val="22"/>
              </w:rPr>
              <w:t xml:space="preserve"> 20</w:t>
            </w:r>
            <w:r w:rsidR="00432433">
              <w:rPr>
                <w:rFonts w:ascii="Verdana" w:hAnsi="Verdana"/>
                <w:b/>
                <w:bCs/>
                <w:sz w:val="22"/>
                <w:szCs w:val="22"/>
              </w:rPr>
              <w:t>2</w:t>
            </w:r>
            <w:r w:rsidR="000F1832">
              <w:rPr>
                <w:rFonts w:ascii="Verdana" w:hAnsi="Verdana"/>
                <w:b/>
                <w:bCs/>
                <w:sz w:val="22"/>
                <w:szCs w:val="22"/>
              </w:rPr>
              <w:t>1</w:t>
            </w:r>
          </w:p>
        </w:tc>
        <w:tc>
          <w:tcPr>
            <w:tcW w:w="0" w:type="auto"/>
            <w:shd w:val="clear" w:color="auto" w:fill="FFCC99"/>
            <w:vAlign w:val="center"/>
          </w:tcPr>
          <w:p w14:paraId="263F94B2" w14:textId="77777777" w:rsidR="005D467C" w:rsidRDefault="00716ED8" w:rsidP="005D467C">
            <w:pPr>
              <w:pStyle w:val="NormalWeb"/>
              <w:spacing w:before="0" w:beforeAutospacing="0" w:after="0" w:afterAutospacing="0"/>
              <w:jc w:val="right"/>
              <w:rPr>
                <w:rFonts w:ascii="Verdana" w:hAnsi="Verdana"/>
                <w:sz w:val="22"/>
                <w:szCs w:val="22"/>
              </w:rPr>
            </w:pPr>
            <w:r w:rsidRPr="0056091F">
              <w:rPr>
                <w:rStyle w:val="Strong"/>
                <w:rFonts w:ascii="Arial" w:hAnsi="Arial" w:cs="Arial"/>
                <w:sz w:val="22"/>
                <w:szCs w:val="22"/>
              </w:rPr>
              <w:t>Contact:</w:t>
            </w:r>
            <w:r w:rsidRPr="0056091F">
              <w:rPr>
                <w:rFonts w:ascii="Arial" w:hAnsi="Arial" w:cs="Arial"/>
                <w:b/>
                <w:bCs/>
                <w:sz w:val="22"/>
                <w:szCs w:val="22"/>
              </w:rPr>
              <w:br/>
            </w:r>
            <w:r w:rsidR="00D0524A">
              <w:rPr>
                <w:rFonts w:ascii="Verdana" w:hAnsi="Verdana"/>
                <w:sz w:val="22"/>
                <w:szCs w:val="22"/>
              </w:rPr>
              <w:t>Mary Kay Bean</w:t>
            </w:r>
            <w:r w:rsidR="005D467C">
              <w:rPr>
                <w:rFonts w:ascii="Verdana" w:hAnsi="Verdana"/>
                <w:sz w:val="22"/>
                <w:szCs w:val="22"/>
              </w:rPr>
              <w:t xml:space="preserve"> </w:t>
            </w:r>
          </w:p>
          <w:p w14:paraId="70383645" w14:textId="483979D0" w:rsidR="00716ED8" w:rsidRPr="0056091F" w:rsidRDefault="00E228C6" w:rsidP="005D467C">
            <w:pPr>
              <w:pStyle w:val="NormalWeb"/>
              <w:spacing w:before="0" w:beforeAutospacing="0" w:after="0" w:afterAutospacing="0"/>
              <w:jc w:val="right"/>
              <w:rPr>
                <w:sz w:val="22"/>
                <w:szCs w:val="22"/>
              </w:rPr>
            </w:pPr>
            <w:r>
              <w:rPr>
                <w:rFonts w:ascii="Verdana" w:hAnsi="Verdana"/>
                <w:sz w:val="22"/>
                <w:szCs w:val="22"/>
              </w:rPr>
              <w:t>Beanm1@michigan.gov</w:t>
            </w:r>
          </w:p>
          <w:p w14:paraId="3786EB74" w14:textId="77777777" w:rsidR="00716ED8" w:rsidRPr="00BC75DD" w:rsidRDefault="00BC75DD">
            <w:pPr>
              <w:pStyle w:val="NormalWeb"/>
              <w:spacing w:before="0" w:beforeAutospacing="0" w:after="0" w:afterAutospacing="0"/>
              <w:jc w:val="right"/>
              <w:rPr>
                <w:rFonts w:ascii="Verdana" w:hAnsi="Verdana"/>
                <w:sz w:val="22"/>
                <w:szCs w:val="22"/>
              </w:rPr>
            </w:pPr>
            <w:r>
              <w:rPr>
                <w:rFonts w:ascii="Verdana" w:hAnsi="Verdana"/>
                <w:sz w:val="22"/>
                <w:szCs w:val="22"/>
              </w:rPr>
              <w:t>www.michigan.gov/mgcb</w:t>
            </w:r>
          </w:p>
        </w:tc>
      </w:tr>
    </w:tbl>
    <w:p w14:paraId="7B51E15F" w14:textId="77777777" w:rsidR="00716ED8" w:rsidRDefault="00716ED8">
      <w:pPr>
        <w:pStyle w:val="NormalWeb"/>
        <w:spacing w:before="0" w:beforeAutospacing="0" w:after="0" w:afterAutospacing="0"/>
        <w:rPr>
          <w:rFonts w:ascii="Book Antiqua" w:hAnsi="Book Antiqua"/>
        </w:rPr>
      </w:pPr>
    </w:p>
    <w:p w14:paraId="0F3FE364" w14:textId="77777777" w:rsidR="00716ED8" w:rsidRPr="00345C74" w:rsidRDefault="00716ED8">
      <w:pPr>
        <w:pStyle w:val="Heading4"/>
        <w:jc w:val="left"/>
        <w:rPr>
          <w:b w:val="0"/>
          <w:bCs w:val="0"/>
          <w:sz w:val="20"/>
          <w:szCs w:val="20"/>
        </w:rPr>
      </w:pPr>
      <w:r w:rsidRPr="00345C74">
        <w:rPr>
          <w:sz w:val="20"/>
          <w:szCs w:val="20"/>
        </w:rPr>
        <w:t xml:space="preserve">Location: </w:t>
      </w:r>
      <w:r w:rsidRPr="00345C74">
        <w:rPr>
          <w:b w:val="0"/>
          <w:bCs w:val="0"/>
          <w:sz w:val="20"/>
          <w:szCs w:val="20"/>
        </w:rPr>
        <w:t>Cadillac Place, 3062 W. Grand Blvd., L-700 – Detroit</w:t>
      </w:r>
    </w:p>
    <w:p w14:paraId="210319C5" w14:textId="6B7B640F" w:rsidR="00716ED8" w:rsidRPr="00345C74" w:rsidRDefault="00716ED8">
      <w:pPr>
        <w:pStyle w:val="NormalWeb"/>
        <w:spacing w:before="0" w:beforeAutospacing="0" w:after="0" w:afterAutospacing="0"/>
        <w:rPr>
          <w:rFonts w:ascii="Book Antiqua" w:hAnsi="Book Antiqua"/>
          <w:sz w:val="20"/>
          <w:szCs w:val="20"/>
        </w:rPr>
      </w:pPr>
      <w:r w:rsidRPr="00345C74">
        <w:rPr>
          <w:rFonts w:ascii="Verdana" w:hAnsi="Verdana"/>
          <w:b/>
          <w:bCs/>
          <w:sz w:val="20"/>
          <w:szCs w:val="20"/>
        </w:rPr>
        <w:t>Time:</w:t>
      </w:r>
      <w:r w:rsidRPr="00345C74">
        <w:rPr>
          <w:rFonts w:ascii="Verdana" w:hAnsi="Verdana"/>
          <w:sz w:val="20"/>
          <w:szCs w:val="20"/>
        </w:rPr>
        <w:t xml:space="preserve"> </w:t>
      </w:r>
      <w:r w:rsidR="00F0197F">
        <w:rPr>
          <w:rFonts w:ascii="Verdana" w:hAnsi="Verdana"/>
          <w:sz w:val="20"/>
          <w:szCs w:val="20"/>
        </w:rPr>
        <w:t>2:3</w:t>
      </w:r>
      <w:r w:rsidR="00B6561B" w:rsidRPr="00345C74">
        <w:rPr>
          <w:rFonts w:ascii="Verdana" w:hAnsi="Verdana"/>
          <w:sz w:val="20"/>
          <w:szCs w:val="20"/>
        </w:rPr>
        <w:t>0</w:t>
      </w:r>
      <w:r w:rsidR="00BB4CA4" w:rsidRPr="00345C74">
        <w:rPr>
          <w:rFonts w:ascii="Verdana" w:hAnsi="Verdana"/>
          <w:sz w:val="20"/>
          <w:szCs w:val="20"/>
        </w:rPr>
        <w:t xml:space="preserve"> </w:t>
      </w:r>
      <w:r w:rsidR="00F0197F">
        <w:rPr>
          <w:rFonts w:ascii="Verdana" w:hAnsi="Verdana"/>
          <w:sz w:val="20"/>
          <w:szCs w:val="20"/>
        </w:rPr>
        <w:t>p</w:t>
      </w:r>
      <w:r w:rsidR="00035E72" w:rsidRPr="00345C74">
        <w:rPr>
          <w:rFonts w:ascii="Verdana" w:hAnsi="Verdana"/>
          <w:sz w:val="20"/>
          <w:szCs w:val="20"/>
        </w:rPr>
        <w:t>.</w:t>
      </w:r>
      <w:r w:rsidR="00BB4CA4" w:rsidRPr="00345C74">
        <w:rPr>
          <w:rFonts w:ascii="Verdana" w:hAnsi="Verdana"/>
          <w:sz w:val="20"/>
          <w:szCs w:val="20"/>
        </w:rPr>
        <w:t>m.</w:t>
      </w:r>
      <w:r w:rsidRPr="00345C74">
        <w:rPr>
          <w:rFonts w:ascii="Verdana" w:hAnsi="Verdana"/>
          <w:sz w:val="20"/>
          <w:szCs w:val="20"/>
        </w:rPr>
        <w:t xml:space="preserve"> </w:t>
      </w:r>
    </w:p>
    <w:p w14:paraId="0F005504" w14:textId="77777777" w:rsidR="00966852" w:rsidRPr="00345C74" w:rsidRDefault="00966852" w:rsidP="002E73D0">
      <w:pPr>
        <w:ind w:left="360"/>
        <w:jc w:val="both"/>
        <w:rPr>
          <w:rFonts w:ascii="Arial" w:eastAsia="Calibri" w:hAnsi="Arial" w:cs="Arial"/>
          <w:b/>
          <w:bCs/>
          <w:sz w:val="20"/>
          <w:szCs w:val="20"/>
        </w:rPr>
      </w:pPr>
    </w:p>
    <w:p w14:paraId="1ACA21A5" w14:textId="77777777" w:rsidR="00B6561B" w:rsidRPr="00345C74" w:rsidRDefault="00B6561B" w:rsidP="00B6561B">
      <w:pPr>
        <w:rPr>
          <w:rFonts w:ascii="Verdana" w:hAnsi="Verdana"/>
          <w:b/>
          <w:sz w:val="20"/>
          <w:szCs w:val="20"/>
        </w:rPr>
      </w:pPr>
      <w:r w:rsidRPr="00345C74">
        <w:rPr>
          <w:rFonts w:ascii="Verdana" w:hAnsi="Verdana"/>
          <w:b/>
          <w:sz w:val="20"/>
          <w:szCs w:val="20"/>
        </w:rPr>
        <w:t>For Immediate Release:</w:t>
      </w:r>
    </w:p>
    <w:p w14:paraId="57796A57" w14:textId="77777777" w:rsidR="00B6561B" w:rsidRPr="002E64D5" w:rsidRDefault="00B6561B" w:rsidP="00B6561B">
      <w:pPr>
        <w:rPr>
          <w:rFonts w:ascii="Arial" w:hAnsi="Arial" w:cs="Arial"/>
          <w:b/>
        </w:rPr>
      </w:pPr>
    </w:p>
    <w:p w14:paraId="09F7B3B0" w14:textId="77777777" w:rsidR="002E64D5" w:rsidRPr="002E64D5" w:rsidRDefault="002E64D5" w:rsidP="002E64D5">
      <w:pPr>
        <w:rPr>
          <w:rFonts w:ascii="Arial" w:hAnsi="Arial" w:cs="Arial"/>
          <w:b/>
          <w:bCs/>
          <w:sz w:val="40"/>
          <w:szCs w:val="40"/>
        </w:rPr>
      </w:pPr>
      <w:r w:rsidRPr="002E64D5">
        <w:rPr>
          <w:rFonts w:ascii="Arial" w:hAnsi="Arial" w:cs="Arial"/>
          <w:b/>
          <w:bCs/>
          <w:sz w:val="40"/>
          <w:szCs w:val="40"/>
        </w:rPr>
        <w:t xml:space="preserve">Michigan operators report $126.1 million in September gross internet gaming and sports betting receipts </w:t>
      </w:r>
    </w:p>
    <w:p w14:paraId="65B50617" w14:textId="77777777" w:rsidR="002E64D5" w:rsidRDefault="002E64D5" w:rsidP="002E64D5">
      <w:pPr>
        <w:rPr>
          <w:rFonts w:ascii="Arial" w:hAnsi="Arial" w:cs="Arial"/>
          <w:b/>
          <w:bCs/>
          <w:sz w:val="22"/>
          <w:szCs w:val="22"/>
        </w:rPr>
      </w:pPr>
    </w:p>
    <w:p w14:paraId="7EB51670" w14:textId="4A756FC8" w:rsidR="002E64D5" w:rsidRDefault="002E64D5" w:rsidP="002E64D5">
      <w:pPr>
        <w:rPr>
          <w:rFonts w:ascii="Arial" w:hAnsi="Arial" w:cs="Arial"/>
          <w:sz w:val="22"/>
          <w:szCs w:val="22"/>
        </w:rPr>
      </w:pPr>
      <w:r w:rsidRPr="002E64D5">
        <w:rPr>
          <w:rFonts w:ascii="Arial" w:hAnsi="Arial" w:cs="Arial"/>
          <w:b/>
          <w:bCs/>
          <w:sz w:val="22"/>
          <w:szCs w:val="22"/>
        </w:rPr>
        <w:t xml:space="preserve">Detroit, Oct. </w:t>
      </w:r>
      <w:r w:rsidR="00F0197F">
        <w:rPr>
          <w:rFonts w:ascii="Arial" w:hAnsi="Arial" w:cs="Arial"/>
          <w:b/>
          <w:bCs/>
          <w:sz w:val="22"/>
          <w:szCs w:val="22"/>
        </w:rPr>
        <w:t>14</w:t>
      </w:r>
      <w:r w:rsidRPr="002E64D5">
        <w:rPr>
          <w:rFonts w:ascii="Arial" w:hAnsi="Arial" w:cs="Arial"/>
          <w:b/>
          <w:bCs/>
          <w:sz w:val="22"/>
          <w:szCs w:val="22"/>
        </w:rPr>
        <w:t>, 2021</w:t>
      </w:r>
      <w:r w:rsidRPr="002E64D5">
        <w:rPr>
          <w:rFonts w:ascii="Arial" w:hAnsi="Arial" w:cs="Arial"/>
          <w:sz w:val="22"/>
          <w:szCs w:val="22"/>
        </w:rPr>
        <w:t xml:space="preserve"> - Internet gaming operators in Michigan reported a state record $102.4 million in internet gaming gross receipts for September, up 5.3% from the previous record $97.2 million recorded in August. Internet sports betting operators received $</w:t>
      </w:r>
      <w:r w:rsidR="005B0C2D">
        <w:rPr>
          <w:rFonts w:ascii="Arial" w:hAnsi="Arial" w:cs="Arial"/>
          <w:sz w:val="22"/>
          <w:szCs w:val="22"/>
        </w:rPr>
        <w:t>23.7</w:t>
      </w:r>
      <w:r w:rsidRPr="002E64D5">
        <w:rPr>
          <w:rFonts w:ascii="Arial" w:hAnsi="Arial" w:cs="Arial"/>
          <w:sz w:val="22"/>
          <w:szCs w:val="22"/>
        </w:rPr>
        <w:t xml:space="preserve"> million in total gross sports betting receipts, which were up 4</w:t>
      </w:r>
      <w:r w:rsidR="005B0C2D">
        <w:rPr>
          <w:rFonts w:ascii="Arial" w:hAnsi="Arial" w:cs="Arial"/>
          <w:sz w:val="22"/>
          <w:szCs w:val="22"/>
        </w:rPr>
        <w:t>9</w:t>
      </w:r>
      <w:r w:rsidRPr="002E64D5">
        <w:rPr>
          <w:rFonts w:ascii="Arial" w:hAnsi="Arial" w:cs="Arial"/>
          <w:sz w:val="22"/>
          <w:szCs w:val="22"/>
        </w:rPr>
        <w:t>% from August</w:t>
      </w:r>
      <w:r>
        <w:rPr>
          <w:rFonts w:ascii="Arial" w:hAnsi="Arial" w:cs="Arial"/>
          <w:sz w:val="22"/>
          <w:szCs w:val="22"/>
        </w:rPr>
        <w:t>. The</w:t>
      </w:r>
      <w:r w:rsidRPr="002E64D5">
        <w:rPr>
          <w:rFonts w:ascii="Arial" w:hAnsi="Arial" w:cs="Arial"/>
          <w:sz w:val="22"/>
          <w:szCs w:val="22"/>
        </w:rPr>
        <w:t xml:space="preserve"> total September handle of $354.3 millio</w:t>
      </w:r>
      <w:r>
        <w:rPr>
          <w:rFonts w:ascii="Arial" w:hAnsi="Arial" w:cs="Arial"/>
          <w:sz w:val="22"/>
          <w:szCs w:val="22"/>
        </w:rPr>
        <w:t>n was</w:t>
      </w:r>
      <w:r w:rsidRPr="002E64D5">
        <w:rPr>
          <w:rFonts w:ascii="Arial" w:hAnsi="Arial" w:cs="Arial"/>
          <w:sz w:val="22"/>
          <w:szCs w:val="22"/>
        </w:rPr>
        <w:t xml:space="preserve"> an 84.2% increase from the prior month.</w:t>
      </w:r>
    </w:p>
    <w:p w14:paraId="70B16EE8" w14:textId="77777777" w:rsidR="002E64D5" w:rsidRPr="002E64D5" w:rsidRDefault="002E64D5" w:rsidP="002E64D5">
      <w:pPr>
        <w:rPr>
          <w:rFonts w:ascii="Arial" w:hAnsi="Arial" w:cs="Arial"/>
          <w:sz w:val="22"/>
          <w:szCs w:val="22"/>
        </w:rPr>
      </w:pPr>
    </w:p>
    <w:p w14:paraId="6EED3984" w14:textId="629BB2B8" w:rsidR="002E64D5" w:rsidRDefault="002E64D5" w:rsidP="002E64D5">
      <w:pPr>
        <w:rPr>
          <w:rFonts w:ascii="Arial" w:hAnsi="Arial" w:cs="Arial"/>
          <w:sz w:val="22"/>
          <w:szCs w:val="22"/>
        </w:rPr>
      </w:pPr>
      <w:r w:rsidRPr="002E64D5">
        <w:rPr>
          <w:rFonts w:ascii="Arial" w:hAnsi="Arial" w:cs="Arial"/>
          <w:sz w:val="22"/>
          <w:szCs w:val="22"/>
        </w:rPr>
        <w:t xml:space="preserve">Taxes and payments are based on adjusted gross receipts, which were $92.3 million for internet gaming and up 5.4 </w:t>
      </w:r>
      <w:r w:rsidR="00F0197F">
        <w:rPr>
          <w:rFonts w:ascii="Arial" w:hAnsi="Arial" w:cs="Arial"/>
          <w:sz w:val="22"/>
          <w:szCs w:val="22"/>
        </w:rPr>
        <w:t>%</w:t>
      </w:r>
      <w:r w:rsidRPr="002E64D5">
        <w:rPr>
          <w:rFonts w:ascii="Arial" w:hAnsi="Arial" w:cs="Arial"/>
          <w:sz w:val="22"/>
          <w:szCs w:val="22"/>
        </w:rPr>
        <w:t xml:space="preserve"> from $87.6 million in August. Internet sports betting adjusted gross receipts were $17,399 in September, down more than 99% compared with $7.5 million in August. </w:t>
      </w:r>
    </w:p>
    <w:p w14:paraId="112B50F2" w14:textId="77777777" w:rsidR="002E64D5" w:rsidRDefault="002E64D5" w:rsidP="002E64D5">
      <w:pPr>
        <w:rPr>
          <w:rFonts w:ascii="Arial" w:hAnsi="Arial" w:cs="Arial"/>
          <w:sz w:val="22"/>
          <w:szCs w:val="22"/>
        </w:rPr>
      </w:pPr>
    </w:p>
    <w:p w14:paraId="042ACD0A" w14:textId="1DC45CDD" w:rsidR="002E64D5" w:rsidRDefault="002E64D5" w:rsidP="002E64D5">
      <w:pPr>
        <w:rPr>
          <w:rFonts w:ascii="Arial" w:hAnsi="Arial" w:cs="Arial"/>
          <w:sz w:val="22"/>
          <w:szCs w:val="22"/>
        </w:rPr>
      </w:pPr>
      <w:r w:rsidRPr="002E64D5">
        <w:rPr>
          <w:rFonts w:ascii="Arial" w:hAnsi="Arial" w:cs="Arial"/>
          <w:sz w:val="22"/>
          <w:szCs w:val="22"/>
        </w:rPr>
        <w:t>Adjusted gross receipts include deductions for the monetary value of free play incentives provided to and wagered by bettors. The lower internet sports betting adjusted gross receipts were due in part to a large increase in overall free play offered and wagered during September.</w:t>
      </w:r>
    </w:p>
    <w:p w14:paraId="1BB59437" w14:textId="77777777" w:rsidR="002E64D5" w:rsidRPr="002E64D5" w:rsidRDefault="002E64D5" w:rsidP="002E64D5">
      <w:pPr>
        <w:rPr>
          <w:rFonts w:ascii="Arial" w:hAnsi="Arial" w:cs="Arial"/>
          <w:sz w:val="22"/>
          <w:szCs w:val="22"/>
        </w:rPr>
      </w:pPr>
    </w:p>
    <w:p w14:paraId="79089FF8" w14:textId="7D93823B" w:rsidR="002E64D5" w:rsidRDefault="002E64D5" w:rsidP="002E64D5">
      <w:pPr>
        <w:rPr>
          <w:rFonts w:ascii="Arial" w:hAnsi="Arial" w:cs="Arial"/>
          <w:sz w:val="22"/>
          <w:szCs w:val="22"/>
        </w:rPr>
      </w:pPr>
      <w:r w:rsidRPr="002E64D5">
        <w:rPr>
          <w:rFonts w:ascii="Arial" w:hAnsi="Arial" w:cs="Arial"/>
          <w:sz w:val="22"/>
          <w:szCs w:val="22"/>
        </w:rPr>
        <w:t>The operators delivered more than $19.3 million in taxes and payments to the State of Michigan including:</w:t>
      </w:r>
    </w:p>
    <w:p w14:paraId="1EF80619" w14:textId="77777777" w:rsidR="006C500A" w:rsidRPr="002E64D5" w:rsidRDefault="006C500A" w:rsidP="002E64D5">
      <w:pPr>
        <w:rPr>
          <w:rFonts w:ascii="Arial" w:hAnsi="Arial" w:cs="Arial"/>
          <w:sz w:val="22"/>
          <w:szCs w:val="22"/>
        </w:rPr>
      </w:pPr>
    </w:p>
    <w:p w14:paraId="5AEDD4CB" w14:textId="77777777" w:rsidR="002E64D5" w:rsidRPr="002E64D5" w:rsidRDefault="002E64D5" w:rsidP="002E64D5">
      <w:pPr>
        <w:pStyle w:val="ListParagraph"/>
        <w:numPr>
          <w:ilvl w:val="0"/>
          <w:numId w:val="7"/>
        </w:numPr>
        <w:spacing w:after="160" w:line="259" w:lineRule="auto"/>
        <w:rPr>
          <w:rFonts w:cs="Arial"/>
          <w:szCs w:val="22"/>
        </w:rPr>
      </w:pPr>
      <w:r w:rsidRPr="002E64D5">
        <w:rPr>
          <w:rFonts w:cs="Arial"/>
          <w:szCs w:val="22"/>
        </w:rPr>
        <w:t>Internet gaming taxes/payments: $18.9 million</w:t>
      </w:r>
    </w:p>
    <w:p w14:paraId="71095891" w14:textId="77777777" w:rsidR="002E64D5" w:rsidRPr="002E64D5" w:rsidRDefault="002E64D5" w:rsidP="002E64D5">
      <w:pPr>
        <w:pStyle w:val="ListParagraph"/>
        <w:numPr>
          <w:ilvl w:val="0"/>
          <w:numId w:val="7"/>
        </w:numPr>
        <w:spacing w:after="160" w:line="259" w:lineRule="auto"/>
        <w:rPr>
          <w:rFonts w:cs="Arial"/>
          <w:szCs w:val="22"/>
        </w:rPr>
      </w:pPr>
      <w:r w:rsidRPr="002E64D5">
        <w:rPr>
          <w:rFonts w:cs="Arial"/>
          <w:szCs w:val="22"/>
        </w:rPr>
        <w:t>Internet sports betting taxes/payments: $</w:t>
      </w:r>
      <w:r w:rsidRPr="002E64D5">
        <w:rPr>
          <w:szCs w:val="22"/>
        </w:rPr>
        <w:t xml:space="preserve"> </w:t>
      </w:r>
      <w:r w:rsidRPr="002E64D5">
        <w:rPr>
          <w:rFonts w:cs="Arial"/>
          <w:szCs w:val="22"/>
        </w:rPr>
        <w:t>426,873</w:t>
      </w:r>
    </w:p>
    <w:p w14:paraId="39550ACD" w14:textId="77777777" w:rsidR="002E64D5" w:rsidRDefault="002E64D5" w:rsidP="002E64D5">
      <w:pPr>
        <w:pStyle w:val="ListParagraph"/>
        <w:spacing w:line="240" w:lineRule="auto"/>
        <w:ind w:left="0"/>
        <w:rPr>
          <w:rFonts w:cs="Arial"/>
          <w:szCs w:val="22"/>
        </w:rPr>
      </w:pPr>
    </w:p>
    <w:p w14:paraId="6D5FCBED" w14:textId="279FD8EC" w:rsidR="002E64D5" w:rsidRPr="002E64D5" w:rsidRDefault="002E64D5" w:rsidP="002E64D5">
      <w:pPr>
        <w:pStyle w:val="ListParagraph"/>
        <w:spacing w:line="240" w:lineRule="auto"/>
        <w:ind w:left="0"/>
        <w:rPr>
          <w:rFonts w:cs="Arial"/>
          <w:szCs w:val="22"/>
        </w:rPr>
      </w:pPr>
      <w:r w:rsidRPr="002E64D5">
        <w:rPr>
          <w:rFonts w:cs="Arial"/>
          <w:szCs w:val="22"/>
        </w:rPr>
        <w:t xml:space="preserve">For internet gaming, the state receives 70 </w:t>
      </w:r>
      <w:r w:rsidR="00F0197F">
        <w:rPr>
          <w:rFonts w:cs="Arial"/>
          <w:szCs w:val="22"/>
        </w:rPr>
        <w:t>%</w:t>
      </w:r>
      <w:r w:rsidRPr="002E64D5">
        <w:rPr>
          <w:rFonts w:cs="Arial"/>
          <w:szCs w:val="22"/>
        </w:rPr>
        <w:t xml:space="preserve"> of the total tax from the commercial operators and 80 </w:t>
      </w:r>
      <w:r w:rsidR="00F0197F">
        <w:rPr>
          <w:rFonts w:cs="Arial"/>
          <w:szCs w:val="22"/>
        </w:rPr>
        <w:t>%</w:t>
      </w:r>
      <w:r w:rsidRPr="002E64D5">
        <w:rPr>
          <w:rFonts w:cs="Arial"/>
          <w:szCs w:val="22"/>
        </w:rPr>
        <w:t xml:space="preserve"> of the total payment from tribal operators. The tax and payment rate ranges from 20 </w:t>
      </w:r>
      <w:r w:rsidR="00F0197F">
        <w:rPr>
          <w:rFonts w:cs="Arial"/>
          <w:szCs w:val="22"/>
        </w:rPr>
        <w:t>%</w:t>
      </w:r>
      <w:r w:rsidRPr="002E64D5">
        <w:rPr>
          <w:rFonts w:cs="Arial"/>
          <w:szCs w:val="22"/>
        </w:rPr>
        <w:t xml:space="preserve"> to 28 </w:t>
      </w:r>
      <w:r w:rsidR="00F0197F">
        <w:rPr>
          <w:rFonts w:cs="Arial"/>
          <w:szCs w:val="22"/>
        </w:rPr>
        <w:t>%</w:t>
      </w:r>
      <w:r w:rsidRPr="002E64D5">
        <w:rPr>
          <w:rFonts w:cs="Arial"/>
          <w:szCs w:val="22"/>
        </w:rPr>
        <w:t xml:space="preserve"> based on yearly adjusted gross receipts.</w:t>
      </w:r>
    </w:p>
    <w:p w14:paraId="0F1F43D4" w14:textId="77777777" w:rsidR="002E64D5" w:rsidRPr="002E64D5" w:rsidRDefault="002E64D5" w:rsidP="002E64D5">
      <w:pPr>
        <w:pStyle w:val="ListParagraph"/>
        <w:ind w:left="0"/>
        <w:rPr>
          <w:rFonts w:cs="Arial"/>
          <w:szCs w:val="22"/>
        </w:rPr>
      </w:pPr>
    </w:p>
    <w:p w14:paraId="3D79D1E4" w14:textId="5F1FFBBD" w:rsidR="002E64D5" w:rsidRPr="002E64D5" w:rsidRDefault="002E64D5" w:rsidP="002E64D5">
      <w:pPr>
        <w:pStyle w:val="ListParagraph"/>
        <w:spacing w:line="240" w:lineRule="auto"/>
        <w:ind w:left="0"/>
        <w:rPr>
          <w:rFonts w:cs="Arial"/>
          <w:szCs w:val="22"/>
        </w:rPr>
      </w:pPr>
      <w:r w:rsidRPr="002E64D5">
        <w:rPr>
          <w:rFonts w:cs="Arial"/>
          <w:szCs w:val="22"/>
        </w:rPr>
        <w:t xml:space="preserve">For internet sports betting, commercial operators pay 70 </w:t>
      </w:r>
      <w:r w:rsidR="00F0197F">
        <w:rPr>
          <w:rFonts w:cs="Arial"/>
          <w:szCs w:val="22"/>
        </w:rPr>
        <w:t>%</w:t>
      </w:r>
      <w:r w:rsidRPr="002E64D5">
        <w:rPr>
          <w:rFonts w:cs="Arial"/>
          <w:szCs w:val="22"/>
        </w:rPr>
        <w:t xml:space="preserve"> of the 8.4 </w:t>
      </w:r>
      <w:r w:rsidR="00F0197F">
        <w:rPr>
          <w:rFonts w:cs="Arial"/>
          <w:szCs w:val="22"/>
        </w:rPr>
        <w:t>%</w:t>
      </w:r>
      <w:r w:rsidRPr="002E64D5">
        <w:rPr>
          <w:rFonts w:cs="Arial"/>
          <w:szCs w:val="22"/>
        </w:rPr>
        <w:t xml:space="preserve"> tax to the state and 30 </w:t>
      </w:r>
      <w:r w:rsidR="00F0197F">
        <w:rPr>
          <w:rFonts w:cs="Arial"/>
          <w:szCs w:val="22"/>
        </w:rPr>
        <w:t>%</w:t>
      </w:r>
      <w:r w:rsidRPr="002E64D5">
        <w:rPr>
          <w:rFonts w:cs="Arial"/>
          <w:szCs w:val="22"/>
        </w:rPr>
        <w:t xml:space="preserve"> to the city of Detroit. Tribal operators make an 8.4 </w:t>
      </w:r>
      <w:r w:rsidR="00F0197F">
        <w:rPr>
          <w:rFonts w:cs="Arial"/>
          <w:szCs w:val="22"/>
        </w:rPr>
        <w:t>%</w:t>
      </w:r>
      <w:r w:rsidRPr="002E64D5">
        <w:rPr>
          <w:rFonts w:cs="Arial"/>
          <w:szCs w:val="22"/>
        </w:rPr>
        <w:t xml:space="preserve"> payment to the state on adjusted gross sports betting receipts.</w:t>
      </w:r>
    </w:p>
    <w:p w14:paraId="0575E250" w14:textId="77777777" w:rsidR="002E64D5" w:rsidRPr="002E64D5" w:rsidRDefault="002E64D5" w:rsidP="002E64D5">
      <w:pPr>
        <w:pStyle w:val="ListParagraph"/>
        <w:spacing w:line="240" w:lineRule="auto"/>
        <w:ind w:left="0"/>
        <w:rPr>
          <w:rFonts w:cs="Arial"/>
          <w:szCs w:val="22"/>
        </w:rPr>
      </w:pPr>
    </w:p>
    <w:p w14:paraId="1677B94F" w14:textId="55A56A89" w:rsidR="002E64D5" w:rsidRPr="002E64D5" w:rsidRDefault="002E64D5" w:rsidP="002E64D5">
      <w:pPr>
        <w:pStyle w:val="ListParagraph"/>
        <w:spacing w:line="240" w:lineRule="auto"/>
        <w:ind w:left="0"/>
        <w:rPr>
          <w:rFonts w:cs="Arial"/>
          <w:szCs w:val="22"/>
        </w:rPr>
      </w:pPr>
      <w:r w:rsidRPr="002E64D5">
        <w:rPr>
          <w:rFonts w:cs="Arial"/>
          <w:szCs w:val="22"/>
        </w:rPr>
        <w:t>The three Detroit casinos reported city wagering taxes and municipal services fees of $5.</w:t>
      </w:r>
      <w:r w:rsidR="002B00E1">
        <w:rPr>
          <w:rFonts w:cs="Arial"/>
          <w:szCs w:val="22"/>
        </w:rPr>
        <w:t>5</w:t>
      </w:r>
      <w:r w:rsidRPr="002E64D5">
        <w:rPr>
          <w:rFonts w:cs="Arial"/>
          <w:szCs w:val="22"/>
        </w:rPr>
        <w:t xml:space="preserve"> million for:</w:t>
      </w:r>
    </w:p>
    <w:p w14:paraId="0A0CBF8E" w14:textId="77777777" w:rsidR="002E64D5" w:rsidRPr="002E64D5" w:rsidRDefault="002E64D5" w:rsidP="002E64D5">
      <w:pPr>
        <w:pStyle w:val="ListParagraph"/>
        <w:spacing w:line="240" w:lineRule="auto"/>
        <w:ind w:left="0"/>
        <w:rPr>
          <w:rFonts w:cs="Arial"/>
          <w:szCs w:val="22"/>
        </w:rPr>
      </w:pPr>
    </w:p>
    <w:p w14:paraId="261D5260" w14:textId="77777777" w:rsidR="002E64D5" w:rsidRPr="002E64D5" w:rsidRDefault="002E64D5" w:rsidP="002E64D5">
      <w:pPr>
        <w:pStyle w:val="ListParagraph"/>
        <w:numPr>
          <w:ilvl w:val="0"/>
          <w:numId w:val="8"/>
        </w:numPr>
        <w:spacing w:after="160" w:line="240" w:lineRule="auto"/>
        <w:rPr>
          <w:rFonts w:cs="Arial"/>
          <w:szCs w:val="22"/>
        </w:rPr>
      </w:pPr>
      <w:r w:rsidRPr="002E64D5">
        <w:rPr>
          <w:rFonts w:cs="Arial"/>
          <w:szCs w:val="22"/>
        </w:rPr>
        <w:t>Internet gaming taxes and fees: $5.2 million</w:t>
      </w:r>
    </w:p>
    <w:p w14:paraId="4DEDF1A9" w14:textId="77777777" w:rsidR="002E64D5" w:rsidRPr="002E64D5" w:rsidRDefault="002E64D5" w:rsidP="002E64D5">
      <w:pPr>
        <w:pStyle w:val="ListParagraph"/>
        <w:numPr>
          <w:ilvl w:val="0"/>
          <w:numId w:val="8"/>
        </w:numPr>
        <w:spacing w:after="160" w:line="240" w:lineRule="auto"/>
        <w:rPr>
          <w:rFonts w:cs="Arial"/>
          <w:szCs w:val="22"/>
        </w:rPr>
      </w:pPr>
      <w:r w:rsidRPr="002E64D5">
        <w:rPr>
          <w:rFonts w:cs="Arial"/>
          <w:szCs w:val="22"/>
        </w:rPr>
        <w:t>Internet sports betting taxes and fees: $263,398</w:t>
      </w:r>
    </w:p>
    <w:p w14:paraId="3C5CB07E" w14:textId="77777777" w:rsidR="002E64D5" w:rsidRPr="002E64D5" w:rsidRDefault="002E64D5" w:rsidP="002E64D5">
      <w:pPr>
        <w:pStyle w:val="ListParagraph"/>
        <w:spacing w:line="240" w:lineRule="auto"/>
        <w:ind w:left="0"/>
        <w:rPr>
          <w:rFonts w:cs="Arial"/>
          <w:szCs w:val="22"/>
        </w:rPr>
      </w:pPr>
    </w:p>
    <w:p w14:paraId="4AEBB248" w14:textId="77777777" w:rsidR="002E64D5" w:rsidRPr="002E64D5" w:rsidRDefault="002E64D5" w:rsidP="002E64D5">
      <w:pPr>
        <w:pStyle w:val="ListParagraph"/>
        <w:spacing w:line="240" w:lineRule="auto"/>
        <w:ind w:left="0"/>
        <w:rPr>
          <w:rFonts w:cs="Arial"/>
          <w:szCs w:val="22"/>
        </w:rPr>
      </w:pPr>
      <w:r w:rsidRPr="002E64D5">
        <w:rPr>
          <w:rFonts w:cs="Arial"/>
          <w:szCs w:val="22"/>
        </w:rPr>
        <w:t>Tribal operators reported $2.1 million in wagering payments to the tribes' governing bodies.</w:t>
      </w:r>
    </w:p>
    <w:p w14:paraId="0AA5B6F9" w14:textId="77777777" w:rsidR="002E64D5" w:rsidRPr="002E64D5" w:rsidRDefault="002E64D5" w:rsidP="002E64D5">
      <w:pPr>
        <w:pStyle w:val="ListParagraph"/>
        <w:spacing w:line="240" w:lineRule="auto"/>
        <w:ind w:left="0"/>
        <w:rPr>
          <w:rFonts w:cs="Arial"/>
          <w:szCs w:val="22"/>
        </w:rPr>
      </w:pPr>
    </w:p>
    <w:p w14:paraId="182F046A" w14:textId="48B2B3BA" w:rsidR="002E64D5" w:rsidRPr="002E64D5" w:rsidRDefault="002E64D5" w:rsidP="002E64D5">
      <w:pPr>
        <w:pStyle w:val="ListParagraph"/>
        <w:spacing w:line="240" w:lineRule="auto"/>
        <w:ind w:left="0"/>
        <w:rPr>
          <w:rFonts w:cs="Arial"/>
          <w:szCs w:val="22"/>
        </w:rPr>
      </w:pPr>
      <w:r w:rsidRPr="002E64D5">
        <w:rPr>
          <w:rFonts w:cs="Arial"/>
          <w:szCs w:val="22"/>
        </w:rPr>
        <w:t>From the Jan. 22 launch through Sept. 30, aggregate internet gaming adjusted gross receipts totaled $698.5 million and aggregate internet sports betting adjusted gross sports betting receipts were $60.5 million.</w:t>
      </w:r>
    </w:p>
    <w:p w14:paraId="5EC91FB6" w14:textId="77777777" w:rsidR="002E64D5" w:rsidRPr="002E64D5" w:rsidRDefault="002E64D5" w:rsidP="002E64D5">
      <w:pPr>
        <w:pStyle w:val="ListParagraph"/>
        <w:spacing w:line="240" w:lineRule="auto"/>
        <w:ind w:left="0"/>
        <w:rPr>
          <w:rFonts w:cs="Arial"/>
          <w:szCs w:val="22"/>
        </w:rPr>
      </w:pPr>
    </w:p>
    <w:p w14:paraId="64D274B6" w14:textId="77777777" w:rsidR="002E64D5" w:rsidRPr="002E64D5" w:rsidRDefault="002E64D5" w:rsidP="002E64D5">
      <w:pPr>
        <w:pStyle w:val="ListParagraph"/>
        <w:spacing w:line="240" w:lineRule="auto"/>
        <w:ind w:left="0"/>
        <w:rPr>
          <w:rFonts w:cs="Arial"/>
          <w:szCs w:val="22"/>
        </w:rPr>
      </w:pPr>
      <w:r w:rsidRPr="002E64D5">
        <w:rPr>
          <w:rFonts w:cs="Arial"/>
          <w:szCs w:val="22"/>
        </w:rPr>
        <w:t xml:space="preserve">An online gaming and sports betting revenue distribution </w:t>
      </w:r>
      <w:hyperlink r:id="rId8" w:history="1">
        <w:r w:rsidRPr="002E64D5">
          <w:rPr>
            <w:rStyle w:val="Hyperlink"/>
            <w:rFonts w:cs="Arial"/>
            <w:szCs w:val="22"/>
          </w:rPr>
          <w:t>table</w:t>
        </w:r>
      </w:hyperlink>
      <w:r w:rsidRPr="002E64D5">
        <w:rPr>
          <w:rFonts w:cs="Arial"/>
          <w:szCs w:val="22"/>
        </w:rPr>
        <w:t xml:space="preserve"> is available on the agency's website.</w:t>
      </w:r>
    </w:p>
    <w:p w14:paraId="78D46406" w14:textId="77777777" w:rsidR="002E64D5" w:rsidRPr="002E64D5" w:rsidRDefault="002E64D5" w:rsidP="002E64D5">
      <w:pPr>
        <w:pStyle w:val="ListParagraph"/>
        <w:spacing w:line="240" w:lineRule="auto"/>
        <w:rPr>
          <w:rFonts w:cs="Arial"/>
          <w:szCs w:val="22"/>
        </w:rPr>
      </w:pPr>
    </w:p>
    <w:p w14:paraId="070E2854" w14:textId="7F39FEF3" w:rsidR="002E64D5" w:rsidRPr="002E64D5" w:rsidRDefault="002E64D5" w:rsidP="002E64D5">
      <w:pPr>
        <w:pStyle w:val="ListParagraph"/>
        <w:spacing w:line="240" w:lineRule="auto"/>
        <w:ind w:left="0"/>
        <w:rPr>
          <w:rFonts w:cs="Arial"/>
          <w:szCs w:val="22"/>
        </w:rPr>
      </w:pPr>
      <w:r w:rsidRPr="002E64D5">
        <w:rPr>
          <w:rFonts w:cs="Arial"/>
          <w:szCs w:val="22"/>
        </w:rPr>
        <w:t xml:space="preserve">During September, 14 operators were authorized for both forms of online wagering. Details for each operator's internet gaming and internet sports betting results are available in tables published on the </w:t>
      </w:r>
      <w:hyperlink r:id="rId9" w:history="1">
        <w:r w:rsidRPr="00F0197F">
          <w:rPr>
            <w:rStyle w:val="Hyperlink"/>
            <w:rFonts w:cs="Arial"/>
            <w:szCs w:val="22"/>
          </w:rPr>
          <w:t>MGCB website</w:t>
        </w:r>
      </w:hyperlink>
      <w:r w:rsidRPr="002E64D5">
        <w:rPr>
          <w:rFonts w:cs="Arial"/>
          <w:szCs w:val="22"/>
        </w:rPr>
        <w:t>.</w:t>
      </w:r>
    </w:p>
    <w:p w14:paraId="452DD297" w14:textId="77777777" w:rsidR="002E64D5" w:rsidRPr="002E64D5" w:rsidRDefault="002E64D5" w:rsidP="002E64D5">
      <w:pPr>
        <w:pStyle w:val="ListParagraph"/>
        <w:rPr>
          <w:rFonts w:cs="Arial"/>
          <w:szCs w:val="22"/>
        </w:rPr>
      </w:pPr>
    </w:p>
    <w:p w14:paraId="09F4CDEA" w14:textId="77777777" w:rsidR="002E64D5" w:rsidRPr="003F2B7D" w:rsidRDefault="002E64D5" w:rsidP="002E64D5">
      <w:pPr>
        <w:pStyle w:val="ListParagraph"/>
        <w:spacing w:line="240" w:lineRule="auto"/>
        <w:ind w:left="0"/>
        <w:rPr>
          <w:rFonts w:cs="Arial"/>
          <w:i/>
          <w:iCs/>
        </w:rPr>
      </w:pPr>
      <w:r w:rsidRPr="003F2B7D">
        <w:rPr>
          <w:rFonts w:cs="Arial"/>
          <w:i/>
          <w:iCs/>
        </w:rPr>
        <w:t>Gambling in any form is for entertainment purposes only. If someone has a gambling problem, please call the state's 24-hour, toll-free helpline at 1-800-270-7117 or the MGCB's responsible gaming section at  1-888-223-3044. You also may visit the MGCB website at www.michigan.gov/mgcb for information on self-exclusion programs including the Disassociated Persons List and the Internet Gaming and Sports Betting Responsible Gaming Database.</w:t>
      </w:r>
    </w:p>
    <w:p w14:paraId="67F17CAC" w14:textId="77777777" w:rsidR="00345C74" w:rsidRPr="002E64D5" w:rsidRDefault="00345C74" w:rsidP="00345C74">
      <w:pPr>
        <w:rPr>
          <w:rFonts w:ascii="Arial" w:hAnsi="Arial" w:cs="Arial"/>
        </w:rPr>
      </w:pPr>
    </w:p>
    <w:p w14:paraId="3648AFFF" w14:textId="77777777" w:rsidR="00345C74" w:rsidRPr="00345C74" w:rsidRDefault="00345C74" w:rsidP="00345C74">
      <w:pPr>
        <w:rPr>
          <w:rStyle w:val="Emphasis"/>
          <w:rFonts w:ascii="Arial" w:hAnsi="Arial" w:cs="Arial"/>
          <w:color w:val="333333"/>
          <w:sz w:val="18"/>
          <w:szCs w:val="18"/>
          <w:lang w:val="en"/>
        </w:rPr>
      </w:pPr>
      <w:r w:rsidRPr="00345C74">
        <w:rPr>
          <w:color w:val="333333"/>
          <w:lang w:val="en"/>
        </w:rPr>
        <w:t>"</w:t>
      </w:r>
      <w:r w:rsidRPr="00345C74">
        <w:rPr>
          <w:rStyle w:val="Emphasis"/>
          <w:rFonts w:ascii="Arial" w:hAnsi="Arial" w:cs="Arial"/>
          <w:color w:val="333333"/>
          <w:sz w:val="18"/>
          <w:szCs w:val="18"/>
          <w:lang w:val="en"/>
        </w:rPr>
        <w:t>The Michigan Gaming Control Board shall ensure the conduct of fair and honest gaming to protect the interests of the citizens of the State of Michigan."</w:t>
      </w:r>
    </w:p>
    <w:p w14:paraId="1D94977D" w14:textId="77777777" w:rsidR="0031474A" w:rsidRPr="0031474A" w:rsidRDefault="0031474A" w:rsidP="00345C74">
      <w:pPr>
        <w:autoSpaceDE w:val="0"/>
        <w:autoSpaceDN w:val="0"/>
        <w:jc w:val="both"/>
        <w:rPr>
          <w:rFonts w:ascii="Arial" w:eastAsia="Calibri" w:hAnsi="Arial" w:cs="Arial"/>
          <w:sz w:val="22"/>
          <w:szCs w:val="22"/>
        </w:rPr>
      </w:pPr>
    </w:p>
    <w:p w14:paraId="688465AF" w14:textId="77777777" w:rsidR="0031474A" w:rsidRDefault="0031474A" w:rsidP="0031474A">
      <w:pPr>
        <w:autoSpaceDE w:val="0"/>
        <w:autoSpaceDN w:val="0"/>
        <w:jc w:val="center"/>
        <w:rPr>
          <w:rFonts w:ascii="Arial" w:eastAsia="Calibri" w:hAnsi="Arial" w:cs="Arial"/>
          <w:sz w:val="22"/>
          <w:szCs w:val="22"/>
        </w:rPr>
      </w:pPr>
      <w:r>
        <w:rPr>
          <w:rFonts w:ascii="Arial" w:eastAsia="Calibri" w:hAnsi="Arial" w:cs="Arial"/>
          <w:sz w:val="22"/>
          <w:szCs w:val="22"/>
        </w:rPr>
        <w:t>####</w:t>
      </w:r>
    </w:p>
    <w:p w14:paraId="3A3DCB28" w14:textId="77777777" w:rsidR="0031474A" w:rsidRDefault="0031474A" w:rsidP="005D467C">
      <w:pPr>
        <w:autoSpaceDE w:val="0"/>
        <w:autoSpaceDN w:val="0"/>
        <w:ind w:left="360"/>
        <w:jc w:val="both"/>
        <w:rPr>
          <w:rFonts w:ascii="Arial" w:eastAsia="Calibri" w:hAnsi="Arial" w:cs="Arial"/>
          <w:sz w:val="22"/>
          <w:szCs w:val="22"/>
        </w:rPr>
      </w:pPr>
    </w:p>
    <w:p w14:paraId="6FA79C8A" w14:textId="77777777" w:rsidR="0031474A" w:rsidRDefault="0031474A" w:rsidP="005D467C">
      <w:pPr>
        <w:autoSpaceDE w:val="0"/>
        <w:autoSpaceDN w:val="0"/>
        <w:ind w:left="360"/>
        <w:jc w:val="both"/>
        <w:rPr>
          <w:rFonts w:ascii="Arial" w:eastAsia="Calibri" w:hAnsi="Arial" w:cs="Arial"/>
          <w:sz w:val="22"/>
          <w:szCs w:val="22"/>
        </w:rPr>
      </w:pPr>
    </w:p>
    <w:p w14:paraId="0C2D4043" w14:textId="77777777" w:rsidR="0031474A" w:rsidRDefault="0031474A" w:rsidP="005D467C">
      <w:pPr>
        <w:autoSpaceDE w:val="0"/>
        <w:autoSpaceDN w:val="0"/>
        <w:ind w:left="360"/>
        <w:jc w:val="both"/>
        <w:rPr>
          <w:rFonts w:ascii="Arial" w:eastAsia="Calibri" w:hAnsi="Arial" w:cs="Arial"/>
          <w:sz w:val="22"/>
          <w:szCs w:val="22"/>
        </w:rPr>
      </w:pPr>
    </w:p>
    <w:p w14:paraId="3F0713FF" w14:textId="77777777" w:rsidR="0031474A" w:rsidRDefault="0031474A" w:rsidP="005D467C">
      <w:pPr>
        <w:autoSpaceDE w:val="0"/>
        <w:autoSpaceDN w:val="0"/>
        <w:ind w:left="360"/>
        <w:jc w:val="both"/>
        <w:rPr>
          <w:rFonts w:ascii="Arial" w:eastAsia="Calibri" w:hAnsi="Arial" w:cs="Arial"/>
          <w:sz w:val="22"/>
          <w:szCs w:val="22"/>
        </w:rPr>
      </w:pPr>
    </w:p>
    <w:p w14:paraId="0D96E652" w14:textId="77777777" w:rsidR="0031474A" w:rsidRDefault="0031474A" w:rsidP="005D467C">
      <w:pPr>
        <w:autoSpaceDE w:val="0"/>
        <w:autoSpaceDN w:val="0"/>
        <w:ind w:left="360"/>
        <w:jc w:val="both"/>
        <w:rPr>
          <w:rFonts w:ascii="Arial" w:eastAsia="Calibri" w:hAnsi="Arial" w:cs="Arial"/>
          <w:sz w:val="22"/>
          <w:szCs w:val="22"/>
        </w:rPr>
      </w:pPr>
    </w:p>
    <w:p w14:paraId="710E929B" w14:textId="77777777" w:rsidR="0031474A" w:rsidRDefault="0031474A" w:rsidP="005D467C">
      <w:pPr>
        <w:autoSpaceDE w:val="0"/>
        <w:autoSpaceDN w:val="0"/>
        <w:ind w:left="360"/>
        <w:jc w:val="both"/>
        <w:rPr>
          <w:rFonts w:ascii="Arial" w:eastAsia="Calibri" w:hAnsi="Arial" w:cs="Arial"/>
          <w:sz w:val="22"/>
          <w:szCs w:val="22"/>
        </w:rPr>
      </w:pPr>
    </w:p>
    <w:p w14:paraId="571B34B3" w14:textId="77777777" w:rsidR="0031474A" w:rsidRDefault="0031474A" w:rsidP="005D467C">
      <w:pPr>
        <w:autoSpaceDE w:val="0"/>
        <w:autoSpaceDN w:val="0"/>
        <w:ind w:left="360"/>
        <w:jc w:val="both"/>
        <w:rPr>
          <w:rFonts w:ascii="Arial" w:eastAsia="Calibri" w:hAnsi="Arial" w:cs="Arial"/>
          <w:sz w:val="22"/>
          <w:szCs w:val="22"/>
        </w:rPr>
      </w:pPr>
    </w:p>
    <w:p w14:paraId="49C1A28D" w14:textId="77777777" w:rsidR="0031474A" w:rsidRDefault="0031474A" w:rsidP="005D467C">
      <w:pPr>
        <w:autoSpaceDE w:val="0"/>
        <w:autoSpaceDN w:val="0"/>
        <w:ind w:left="360"/>
        <w:jc w:val="both"/>
        <w:rPr>
          <w:rFonts w:ascii="Arial" w:eastAsia="Calibri" w:hAnsi="Arial" w:cs="Arial"/>
          <w:sz w:val="22"/>
          <w:szCs w:val="22"/>
        </w:rPr>
      </w:pPr>
    </w:p>
    <w:sectPr w:rsidR="0031474A" w:rsidSect="00966852">
      <w:pgSz w:w="12240" w:h="15840" w:code="1"/>
      <w:pgMar w:top="720" w:right="1440" w:bottom="994" w:left="1800" w:header="288" w:footer="288"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5B261" w14:textId="77777777" w:rsidR="00854E9D" w:rsidRDefault="00854E9D">
      <w:r>
        <w:separator/>
      </w:r>
    </w:p>
  </w:endnote>
  <w:endnote w:type="continuationSeparator" w:id="0">
    <w:p w14:paraId="57D40854" w14:textId="77777777" w:rsidR="00854E9D" w:rsidRDefault="0085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ECF60" w14:textId="77777777" w:rsidR="00854E9D" w:rsidRDefault="00854E9D">
      <w:r>
        <w:separator/>
      </w:r>
    </w:p>
  </w:footnote>
  <w:footnote w:type="continuationSeparator" w:id="0">
    <w:p w14:paraId="2FAB7106" w14:textId="77777777" w:rsidR="00854E9D" w:rsidRDefault="00854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96F41"/>
    <w:multiLevelType w:val="hybridMultilevel"/>
    <w:tmpl w:val="A80A0DD2"/>
    <w:lvl w:ilvl="0" w:tplc="311A128C">
      <w:start w:val="1"/>
      <w:numFmt w:val="bullet"/>
      <w:lvlText w:val=""/>
      <w:lvlJc w:val="left"/>
      <w:pPr>
        <w:tabs>
          <w:tab w:val="num" w:pos="3078"/>
        </w:tabs>
        <w:ind w:left="3078" w:hanging="360"/>
      </w:pPr>
      <w:rPr>
        <w:rFonts w:ascii="Symbol" w:hAnsi="Symbol" w:hint="default"/>
        <w:color w:val="000000"/>
      </w:rPr>
    </w:lvl>
    <w:lvl w:ilvl="1" w:tplc="04090003" w:tentative="1">
      <w:start w:val="1"/>
      <w:numFmt w:val="bullet"/>
      <w:lvlText w:val="o"/>
      <w:lvlJc w:val="left"/>
      <w:pPr>
        <w:tabs>
          <w:tab w:val="num" w:pos="1518"/>
        </w:tabs>
        <w:ind w:left="1518" w:hanging="360"/>
      </w:pPr>
      <w:rPr>
        <w:rFonts w:ascii="Courier New" w:hAnsi="Courier New" w:hint="default"/>
      </w:rPr>
    </w:lvl>
    <w:lvl w:ilvl="2" w:tplc="04090005" w:tentative="1">
      <w:start w:val="1"/>
      <w:numFmt w:val="bullet"/>
      <w:lvlText w:val=""/>
      <w:lvlJc w:val="left"/>
      <w:pPr>
        <w:tabs>
          <w:tab w:val="num" w:pos="2238"/>
        </w:tabs>
        <w:ind w:left="2238" w:hanging="360"/>
      </w:pPr>
      <w:rPr>
        <w:rFonts w:ascii="Wingdings" w:hAnsi="Wingdings" w:hint="default"/>
      </w:rPr>
    </w:lvl>
    <w:lvl w:ilvl="3" w:tplc="04090001" w:tentative="1">
      <w:start w:val="1"/>
      <w:numFmt w:val="bullet"/>
      <w:lvlText w:val=""/>
      <w:lvlJc w:val="left"/>
      <w:pPr>
        <w:tabs>
          <w:tab w:val="num" w:pos="2958"/>
        </w:tabs>
        <w:ind w:left="2958" w:hanging="360"/>
      </w:pPr>
      <w:rPr>
        <w:rFonts w:ascii="Symbol" w:hAnsi="Symbol" w:hint="default"/>
      </w:rPr>
    </w:lvl>
    <w:lvl w:ilvl="4" w:tplc="04090003" w:tentative="1">
      <w:start w:val="1"/>
      <w:numFmt w:val="bullet"/>
      <w:lvlText w:val="o"/>
      <w:lvlJc w:val="left"/>
      <w:pPr>
        <w:tabs>
          <w:tab w:val="num" w:pos="3678"/>
        </w:tabs>
        <w:ind w:left="3678" w:hanging="360"/>
      </w:pPr>
      <w:rPr>
        <w:rFonts w:ascii="Courier New" w:hAnsi="Courier New" w:hint="default"/>
      </w:rPr>
    </w:lvl>
    <w:lvl w:ilvl="5" w:tplc="04090005" w:tentative="1">
      <w:start w:val="1"/>
      <w:numFmt w:val="bullet"/>
      <w:lvlText w:val=""/>
      <w:lvlJc w:val="left"/>
      <w:pPr>
        <w:tabs>
          <w:tab w:val="num" w:pos="4398"/>
        </w:tabs>
        <w:ind w:left="4398" w:hanging="360"/>
      </w:pPr>
      <w:rPr>
        <w:rFonts w:ascii="Wingdings" w:hAnsi="Wingdings" w:hint="default"/>
      </w:rPr>
    </w:lvl>
    <w:lvl w:ilvl="6" w:tplc="04090001" w:tentative="1">
      <w:start w:val="1"/>
      <w:numFmt w:val="bullet"/>
      <w:lvlText w:val=""/>
      <w:lvlJc w:val="left"/>
      <w:pPr>
        <w:tabs>
          <w:tab w:val="num" w:pos="5118"/>
        </w:tabs>
        <w:ind w:left="5118" w:hanging="360"/>
      </w:pPr>
      <w:rPr>
        <w:rFonts w:ascii="Symbol" w:hAnsi="Symbol" w:hint="default"/>
      </w:rPr>
    </w:lvl>
    <w:lvl w:ilvl="7" w:tplc="04090003" w:tentative="1">
      <w:start w:val="1"/>
      <w:numFmt w:val="bullet"/>
      <w:lvlText w:val="o"/>
      <w:lvlJc w:val="left"/>
      <w:pPr>
        <w:tabs>
          <w:tab w:val="num" w:pos="5838"/>
        </w:tabs>
        <w:ind w:left="5838" w:hanging="360"/>
      </w:pPr>
      <w:rPr>
        <w:rFonts w:ascii="Courier New" w:hAnsi="Courier New" w:hint="default"/>
      </w:rPr>
    </w:lvl>
    <w:lvl w:ilvl="8" w:tplc="04090005" w:tentative="1">
      <w:start w:val="1"/>
      <w:numFmt w:val="bullet"/>
      <w:lvlText w:val=""/>
      <w:lvlJc w:val="left"/>
      <w:pPr>
        <w:tabs>
          <w:tab w:val="num" w:pos="6558"/>
        </w:tabs>
        <w:ind w:left="6558" w:hanging="360"/>
      </w:pPr>
      <w:rPr>
        <w:rFonts w:ascii="Wingdings" w:hAnsi="Wingdings" w:hint="default"/>
      </w:rPr>
    </w:lvl>
  </w:abstractNum>
  <w:abstractNum w:abstractNumId="1" w15:restartNumberingAfterBreak="0">
    <w:nsid w:val="18F071D6"/>
    <w:multiLevelType w:val="hybridMultilevel"/>
    <w:tmpl w:val="C56EAB2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210049"/>
    <w:multiLevelType w:val="hybridMultilevel"/>
    <w:tmpl w:val="6530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2182A"/>
    <w:multiLevelType w:val="hybridMultilevel"/>
    <w:tmpl w:val="C56EAB2C"/>
    <w:lvl w:ilvl="0" w:tplc="311A128C">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276769"/>
    <w:multiLevelType w:val="hybridMultilevel"/>
    <w:tmpl w:val="DDE2D0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A431520"/>
    <w:multiLevelType w:val="hybridMultilevel"/>
    <w:tmpl w:val="4AC4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1B5A8F"/>
    <w:multiLevelType w:val="hybridMultilevel"/>
    <w:tmpl w:val="0DAE4A44"/>
    <w:lvl w:ilvl="0" w:tplc="8D849DB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582474"/>
    <w:multiLevelType w:val="hybridMultilevel"/>
    <w:tmpl w:val="02420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6"/>
  </w:num>
  <w:num w:numId="5">
    <w:abstractNumId w:val="4"/>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D8"/>
    <w:rsid w:val="00035E72"/>
    <w:rsid w:val="00037725"/>
    <w:rsid w:val="00037D1E"/>
    <w:rsid w:val="00043E27"/>
    <w:rsid w:val="0006018C"/>
    <w:rsid w:val="000657D2"/>
    <w:rsid w:val="0007415A"/>
    <w:rsid w:val="000904B6"/>
    <w:rsid w:val="00091870"/>
    <w:rsid w:val="00097CE1"/>
    <w:rsid w:val="000A2A94"/>
    <w:rsid w:val="000A70CB"/>
    <w:rsid w:val="000B194B"/>
    <w:rsid w:val="000B5B66"/>
    <w:rsid w:val="000C08D8"/>
    <w:rsid w:val="000C39A3"/>
    <w:rsid w:val="000E4135"/>
    <w:rsid w:val="000E4EE9"/>
    <w:rsid w:val="000F1832"/>
    <w:rsid w:val="000F25E0"/>
    <w:rsid w:val="001043ED"/>
    <w:rsid w:val="0010579D"/>
    <w:rsid w:val="00123D20"/>
    <w:rsid w:val="00125DAA"/>
    <w:rsid w:val="00134833"/>
    <w:rsid w:val="00137256"/>
    <w:rsid w:val="001441E1"/>
    <w:rsid w:val="00150EA5"/>
    <w:rsid w:val="001541B3"/>
    <w:rsid w:val="00160198"/>
    <w:rsid w:val="00164F0F"/>
    <w:rsid w:val="00176957"/>
    <w:rsid w:val="00177AB2"/>
    <w:rsid w:val="00186419"/>
    <w:rsid w:val="00196FFE"/>
    <w:rsid w:val="001B7774"/>
    <w:rsid w:val="001D38BE"/>
    <w:rsid w:val="001F1F73"/>
    <w:rsid w:val="00200EE6"/>
    <w:rsid w:val="00202BD1"/>
    <w:rsid w:val="002164BB"/>
    <w:rsid w:val="00231171"/>
    <w:rsid w:val="00266369"/>
    <w:rsid w:val="00267877"/>
    <w:rsid w:val="00280D28"/>
    <w:rsid w:val="002901F8"/>
    <w:rsid w:val="002B00E1"/>
    <w:rsid w:val="002C7198"/>
    <w:rsid w:val="002D214E"/>
    <w:rsid w:val="002D745A"/>
    <w:rsid w:val="002E64D5"/>
    <w:rsid w:val="002E73D0"/>
    <w:rsid w:val="002F50BF"/>
    <w:rsid w:val="002F53A8"/>
    <w:rsid w:val="00302E6E"/>
    <w:rsid w:val="003057BF"/>
    <w:rsid w:val="0031474A"/>
    <w:rsid w:val="00322E79"/>
    <w:rsid w:val="00325554"/>
    <w:rsid w:val="00345C74"/>
    <w:rsid w:val="00356E90"/>
    <w:rsid w:val="00362093"/>
    <w:rsid w:val="003826A4"/>
    <w:rsid w:val="00382D2D"/>
    <w:rsid w:val="003B2AC6"/>
    <w:rsid w:val="003B3A36"/>
    <w:rsid w:val="003C5F29"/>
    <w:rsid w:val="003E239D"/>
    <w:rsid w:val="003F4455"/>
    <w:rsid w:val="0040761D"/>
    <w:rsid w:val="00432433"/>
    <w:rsid w:val="0043685B"/>
    <w:rsid w:val="00483B2F"/>
    <w:rsid w:val="004A5E4C"/>
    <w:rsid w:val="004C4EC2"/>
    <w:rsid w:val="004D58F7"/>
    <w:rsid w:val="0051294F"/>
    <w:rsid w:val="005323F4"/>
    <w:rsid w:val="0056091F"/>
    <w:rsid w:val="005810E3"/>
    <w:rsid w:val="005867F6"/>
    <w:rsid w:val="0059519D"/>
    <w:rsid w:val="005A3319"/>
    <w:rsid w:val="005B0C2D"/>
    <w:rsid w:val="005C4D56"/>
    <w:rsid w:val="005D467C"/>
    <w:rsid w:val="005E597F"/>
    <w:rsid w:val="005E5F60"/>
    <w:rsid w:val="005F181E"/>
    <w:rsid w:val="005F473C"/>
    <w:rsid w:val="00611517"/>
    <w:rsid w:val="006123C4"/>
    <w:rsid w:val="00615F7A"/>
    <w:rsid w:val="00643932"/>
    <w:rsid w:val="00647E03"/>
    <w:rsid w:val="00651BB5"/>
    <w:rsid w:val="00652BF0"/>
    <w:rsid w:val="006626DE"/>
    <w:rsid w:val="00683645"/>
    <w:rsid w:val="006A7BD8"/>
    <w:rsid w:val="006B48F2"/>
    <w:rsid w:val="006C500A"/>
    <w:rsid w:val="006D5C9E"/>
    <w:rsid w:val="006D6401"/>
    <w:rsid w:val="006E3941"/>
    <w:rsid w:val="00713CC7"/>
    <w:rsid w:val="007160F6"/>
    <w:rsid w:val="00716ED8"/>
    <w:rsid w:val="00730A0A"/>
    <w:rsid w:val="0074376E"/>
    <w:rsid w:val="00763690"/>
    <w:rsid w:val="00764B43"/>
    <w:rsid w:val="00772E7E"/>
    <w:rsid w:val="007779A3"/>
    <w:rsid w:val="00780C82"/>
    <w:rsid w:val="00783A60"/>
    <w:rsid w:val="00790432"/>
    <w:rsid w:val="007D1C56"/>
    <w:rsid w:val="007E1545"/>
    <w:rsid w:val="007F47B0"/>
    <w:rsid w:val="007F5418"/>
    <w:rsid w:val="00804693"/>
    <w:rsid w:val="008170B7"/>
    <w:rsid w:val="008206E8"/>
    <w:rsid w:val="008410C2"/>
    <w:rsid w:val="00854E9D"/>
    <w:rsid w:val="00857A92"/>
    <w:rsid w:val="008633DE"/>
    <w:rsid w:val="008A14CA"/>
    <w:rsid w:val="008C6B8B"/>
    <w:rsid w:val="008D6714"/>
    <w:rsid w:val="008E6C63"/>
    <w:rsid w:val="00914303"/>
    <w:rsid w:val="00930430"/>
    <w:rsid w:val="009373B9"/>
    <w:rsid w:val="00944AEA"/>
    <w:rsid w:val="00966852"/>
    <w:rsid w:val="00970643"/>
    <w:rsid w:val="00983E3B"/>
    <w:rsid w:val="00987986"/>
    <w:rsid w:val="009909B0"/>
    <w:rsid w:val="00991081"/>
    <w:rsid w:val="009A2604"/>
    <w:rsid w:val="009C4E5B"/>
    <w:rsid w:val="009C7A47"/>
    <w:rsid w:val="009E390D"/>
    <w:rsid w:val="009E4529"/>
    <w:rsid w:val="00A056A9"/>
    <w:rsid w:val="00A26FB6"/>
    <w:rsid w:val="00A41C53"/>
    <w:rsid w:val="00A45E57"/>
    <w:rsid w:val="00A559BD"/>
    <w:rsid w:val="00A76EA6"/>
    <w:rsid w:val="00AA356F"/>
    <w:rsid w:val="00AB50FF"/>
    <w:rsid w:val="00AD6F7A"/>
    <w:rsid w:val="00AE0251"/>
    <w:rsid w:val="00AE199B"/>
    <w:rsid w:val="00AE30DD"/>
    <w:rsid w:val="00B00A5D"/>
    <w:rsid w:val="00B040C4"/>
    <w:rsid w:val="00B174AE"/>
    <w:rsid w:val="00B235F8"/>
    <w:rsid w:val="00B6561B"/>
    <w:rsid w:val="00B8224B"/>
    <w:rsid w:val="00B86CD2"/>
    <w:rsid w:val="00BB1039"/>
    <w:rsid w:val="00BB4CA4"/>
    <w:rsid w:val="00BC0787"/>
    <w:rsid w:val="00BC75DD"/>
    <w:rsid w:val="00BF0F9E"/>
    <w:rsid w:val="00BF0FF5"/>
    <w:rsid w:val="00BF2368"/>
    <w:rsid w:val="00C10F64"/>
    <w:rsid w:val="00C12EA3"/>
    <w:rsid w:val="00C24ECF"/>
    <w:rsid w:val="00C574E9"/>
    <w:rsid w:val="00C63A6A"/>
    <w:rsid w:val="00C67DC7"/>
    <w:rsid w:val="00C751B2"/>
    <w:rsid w:val="00C92BD4"/>
    <w:rsid w:val="00CC0E8B"/>
    <w:rsid w:val="00CC44D2"/>
    <w:rsid w:val="00CE4165"/>
    <w:rsid w:val="00CE74F3"/>
    <w:rsid w:val="00D0524A"/>
    <w:rsid w:val="00D116C0"/>
    <w:rsid w:val="00D303A8"/>
    <w:rsid w:val="00D3095C"/>
    <w:rsid w:val="00D47EAD"/>
    <w:rsid w:val="00D57A5E"/>
    <w:rsid w:val="00D75340"/>
    <w:rsid w:val="00D820E8"/>
    <w:rsid w:val="00D8529A"/>
    <w:rsid w:val="00DB0E29"/>
    <w:rsid w:val="00DC4F1E"/>
    <w:rsid w:val="00E228C6"/>
    <w:rsid w:val="00E45ED4"/>
    <w:rsid w:val="00E53C49"/>
    <w:rsid w:val="00E65718"/>
    <w:rsid w:val="00E75755"/>
    <w:rsid w:val="00E90FE3"/>
    <w:rsid w:val="00E9539F"/>
    <w:rsid w:val="00EB0339"/>
    <w:rsid w:val="00EB5124"/>
    <w:rsid w:val="00EC47D5"/>
    <w:rsid w:val="00EF32BC"/>
    <w:rsid w:val="00F0197F"/>
    <w:rsid w:val="00F115CC"/>
    <w:rsid w:val="00F40E01"/>
    <w:rsid w:val="00F624AB"/>
    <w:rsid w:val="00F76105"/>
    <w:rsid w:val="00F82087"/>
    <w:rsid w:val="00F86130"/>
    <w:rsid w:val="00F95395"/>
    <w:rsid w:val="00FB3743"/>
    <w:rsid w:val="00FC5B6F"/>
    <w:rsid w:val="00FC7072"/>
    <w:rsid w:val="00FE457F"/>
    <w:rsid w:val="00FF0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33561"/>
  <w15:chartTrackingRefBased/>
  <w15:docId w15:val="{E712FC09-DA98-4CAE-ADC8-67C97B621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sz w:val="36"/>
    </w:rPr>
  </w:style>
  <w:style w:type="paragraph" w:styleId="Heading2">
    <w:name w:val="heading 2"/>
    <w:basedOn w:val="Normal"/>
    <w:next w:val="Normal"/>
    <w:qFormat/>
    <w:pPr>
      <w:keepNext/>
      <w:framePr w:hSpace="180" w:wrap="around" w:vAnchor="page" w:hAnchor="margin" w:y="2733"/>
      <w:outlineLvl w:val="1"/>
    </w:pPr>
    <w:rPr>
      <w:rFonts w:ascii="Arial" w:hAnsi="Arial" w:cs="Arial"/>
      <w:sz w:val="96"/>
    </w:rPr>
  </w:style>
  <w:style w:type="paragraph" w:styleId="Heading3">
    <w:name w:val="heading 3"/>
    <w:basedOn w:val="Normal"/>
    <w:next w:val="Normal"/>
    <w:qFormat/>
    <w:pPr>
      <w:keepNext/>
      <w:jc w:val="center"/>
      <w:outlineLvl w:val="2"/>
    </w:pPr>
    <w:rPr>
      <w:rFonts w:ascii="Verdana" w:hAnsi="Verdana"/>
      <w:sz w:val="48"/>
    </w:rPr>
  </w:style>
  <w:style w:type="paragraph" w:styleId="Heading4">
    <w:name w:val="heading 4"/>
    <w:basedOn w:val="Normal"/>
    <w:next w:val="Normal"/>
    <w:qFormat/>
    <w:pPr>
      <w:keepNext/>
      <w:jc w:val="center"/>
      <w:outlineLvl w:val="3"/>
    </w:pPr>
    <w:rPr>
      <w:rFonts w:ascii="Verdana" w:hAnsi="Verdana"/>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qFormat/>
    <w:rPr>
      <w:b/>
      <w:bCs/>
    </w:rPr>
  </w:style>
  <w:style w:type="paragraph" w:styleId="NormalWeb">
    <w:name w:val="Normal (Web)"/>
    <w:basedOn w:val="Normal"/>
    <w:uiPriority w:val="99"/>
    <w:pPr>
      <w:spacing w:before="100" w:beforeAutospacing="1" w:after="100" w:afterAutospacing="1"/>
    </w:pPr>
  </w:style>
  <w:style w:type="paragraph" w:styleId="BodyTextIndent">
    <w:name w:val="Body Text Indent"/>
    <w:basedOn w:val="Normal"/>
    <w:pPr>
      <w:ind w:left="360"/>
    </w:pPr>
    <w:rPr>
      <w:sz w:val="28"/>
      <w:szCs w:val="20"/>
    </w:rPr>
  </w:style>
  <w:style w:type="paragraph" w:styleId="BodyTextIndent2">
    <w:name w:val="Body Text Indent 2"/>
    <w:basedOn w:val="Normal"/>
    <w:pPr>
      <w:ind w:left="360"/>
    </w:pPr>
    <w:rPr>
      <w:b/>
      <w:bCs/>
      <w:sz w:val="28"/>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rFonts w:ascii="Verdana" w:hAnsi="Verdana"/>
    </w:rPr>
  </w:style>
  <w:style w:type="paragraph" w:styleId="BalloonText">
    <w:name w:val="Balloon Text"/>
    <w:basedOn w:val="Normal"/>
    <w:semiHidden/>
    <w:rsid w:val="00356E90"/>
    <w:rPr>
      <w:rFonts w:ascii="Tahoma" w:hAnsi="Tahoma" w:cs="Tahoma"/>
      <w:sz w:val="16"/>
      <w:szCs w:val="16"/>
    </w:rPr>
  </w:style>
  <w:style w:type="paragraph" w:styleId="BodyText2">
    <w:name w:val="Body Text 2"/>
    <w:basedOn w:val="Normal"/>
    <w:rsid w:val="00177AB2"/>
    <w:rPr>
      <w:rFonts w:ascii="Verdana" w:hAnsi="Verdana"/>
      <w:b/>
      <w:bCs/>
      <w:color w:val="000000"/>
      <w:spacing w:val="-20"/>
      <w:sz w:val="28"/>
      <w:szCs w:val="28"/>
    </w:rPr>
  </w:style>
  <w:style w:type="paragraph" w:styleId="PlainText">
    <w:name w:val="Plain Text"/>
    <w:basedOn w:val="Normal"/>
    <w:link w:val="PlainTextChar"/>
    <w:uiPriority w:val="99"/>
    <w:unhideWhenUsed/>
    <w:rsid w:val="00944AEA"/>
    <w:rPr>
      <w:rFonts w:ascii="Consolas" w:eastAsia="Calibri" w:hAnsi="Consolas"/>
      <w:sz w:val="21"/>
      <w:szCs w:val="21"/>
    </w:rPr>
  </w:style>
  <w:style w:type="character" w:customStyle="1" w:styleId="PlainTextChar">
    <w:name w:val="Plain Text Char"/>
    <w:link w:val="PlainText"/>
    <w:uiPriority w:val="99"/>
    <w:rsid w:val="00944AEA"/>
    <w:rPr>
      <w:rFonts w:ascii="Consolas" w:eastAsia="Calibri" w:hAnsi="Consolas" w:cs="Times New Roman"/>
      <w:sz w:val="21"/>
      <w:szCs w:val="21"/>
    </w:rPr>
  </w:style>
  <w:style w:type="paragraph" w:styleId="ListParagraph">
    <w:name w:val="List Paragraph"/>
    <w:basedOn w:val="Normal"/>
    <w:uiPriority w:val="34"/>
    <w:qFormat/>
    <w:rsid w:val="00345C74"/>
    <w:pPr>
      <w:spacing w:after="120" w:line="360" w:lineRule="auto"/>
      <w:ind w:left="720"/>
      <w:contextualSpacing/>
    </w:pPr>
    <w:rPr>
      <w:rFonts w:ascii="Arial" w:hAnsi="Arial"/>
      <w:sz w:val="22"/>
      <w:szCs w:val="20"/>
    </w:rPr>
  </w:style>
  <w:style w:type="character" w:styleId="Emphasis">
    <w:name w:val="Emphasis"/>
    <w:uiPriority w:val="20"/>
    <w:qFormat/>
    <w:rsid w:val="00345C74"/>
    <w:rPr>
      <w:i/>
      <w:iCs/>
    </w:rPr>
  </w:style>
  <w:style w:type="character" w:styleId="CommentReference">
    <w:name w:val="annotation reference"/>
    <w:basedOn w:val="DefaultParagraphFont"/>
    <w:rsid w:val="002B00E1"/>
    <w:rPr>
      <w:sz w:val="16"/>
      <w:szCs w:val="16"/>
    </w:rPr>
  </w:style>
  <w:style w:type="paragraph" w:styleId="CommentText">
    <w:name w:val="annotation text"/>
    <w:basedOn w:val="Normal"/>
    <w:link w:val="CommentTextChar"/>
    <w:rsid w:val="002B00E1"/>
    <w:rPr>
      <w:sz w:val="20"/>
      <w:szCs w:val="20"/>
    </w:rPr>
  </w:style>
  <w:style w:type="character" w:customStyle="1" w:styleId="CommentTextChar">
    <w:name w:val="Comment Text Char"/>
    <w:basedOn w:val="DefaultParagraphFont"/>
    <w:link w:val="CommentText"/>
    <w:rsid w:val="002B00E1"/>
  </w:style>
  <w:style w:type="paragraph" w:styleId="CommentSubject">
    <w:name w:val="annotation subject"/>
    <w:basedOn w:val="CommentText"/>
    <w:next w:val="CommentText"/>
    <w:link w:val="CommentSubjectChar"/>
    <w:rsid w:val="002B00E1"/>
    <w:rPr>
      <w:b/>
      <w:bCs/>
    </w:rPr>
  </w:style>
  <w:style w:type="character" w:customStyle="1" w:styleId="CommentSubjectChar">
    <w:name w:val="Comment Subject Char"/>
    <w:basedOn w:val="CommentTextChar"/>
    <w:link w:val="CommentSubject"/>
    <w:rsid w:val="002B00E1"/>
    <w:rPr>
      <w:b/>
      <w:bCs/>
    </w:rPr>
  </w:style>
  <w:style w:type="character" w:styleId="UnresolvedMention">
    <w:name w:val="Unresolved Mention"/>
    <w:basedOn w:val="DefaultParagraphFont"/>
    <w:uiPriority w:val="99"/>
    <w:semiHidden/>
    <w:unhideWhenUsed/>
    <w:rsid w:val="00F01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840247">
      <w:bodyDiv w:val="1"/>
      <w:marLeft w:val="0"/>
      <w:marRight w:val="0"/>
      <w:marTop w:val="0"/>
      <w:marBottom w:val="0"/>
      <w:divBdr>
        <w:top w:val="none" w:sz="0" w:space="0" w:color="auto"/>
        <w:left w:val="none" w:sz="0" w:space="0" w:color="auto"/>
        <w:bottom w:val="none" w:sz="0" w:space="0" w:color="auto"/>
        <w:right w:val="none" w:sz="0" w:space="0" w:color="auto"/>
      </w:divBdr>
    </w:div>
    <w:div w:id="1988901115">
      <w:bodyDiv w:val="1"/>
      <w:marLeft w:val="0"/>
      <w:marRight w:val="0"/>
      <w:marTop w:val="0"/>
      <w:marBottom w:val="0"/>
      <w:divBdr>
        <w:top w:val="none" w:sz="0" w:space="0" w:color="auto"/>
        <w:left w:val="none" w:sz="0" w:space="0" w:color="auto"/>
        <w:bottom w:val="none" w:sz="0" w:space="0" w:color="auto"/>
        <w:right w:val="none" w:sz="0" w:space="0" w:color="auto"/>
      </w:divBdr>
    </w:div>
    <w:div w:id="2009482954">
      <w:bodyDiv w:val="1"/>
      <w:marLeft w:val="0"/>
      <w:marRight w:val="0"/>
      <w:marTop w:val="0"/>
      <w:marBottom w:val="0"/>
      <w:divBdr>
        <w:top w:val="none" w:sz="0" w:space="0" w:color="auto"/>
        <w:left w:val="none" w:sz="0" w:space="0" w:color="auto"/>
        <w:bottom w:val="none" w:sz="0" w:space="0" w:color="auto"/>
        <w:right w:val="none" w:sz="0" w:space="0" w:color="auto"/>
      </w:divBdr>
    </w:div>
    <w:div w:id="2026785558">
      <w:bodyDiv w:val="1"/>
      <w:marLeft w:val="0"/>
      <w:marRight w:val="0"/>
      <w:marTop w:val="0"/>
      <w:marBottom w:val="0"/>
      <w:divBdr>
        <w:top w:val="none" w:sz="0" w:space="0" w:color="auto"/>
        <w:left w:val="none" w:sz="0" w:space="0" w:color="auto"/>
        <w:bottom w:val="none" w:sz="0" w:space="0" w:color="auto"/>
        <w:right w:val="none" w:sz="0" w:space="0" w:color="auto"/>
      </w:divBdr>
    </w:div>
    <w:div w:id="204420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chigan.gov/documents/mgcb/iGaming_Sports_Betting_Fantasy_Sports_tax_revenue_distribution_chart_715611_7.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ichigan.gov/mgcb/0,4620,7-351-79127_82898-244408--,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MGCB</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busherit</dc:creator>
  <cp:keywords/>
  <cp:lastModifiedBy>Bean, Mary Kay (MGCB)</cp:lastModifiedBy>
  <cp:revision>2</cp:revision>
  <cp:lastPrinted>2014-01-09T22:05:00Z</cp:lastPrinted>
  <dcterms:created xsi:type="dcterms:W3CDTF">2021-10-14T17:41:00Z</dcterms:created>
  <dcterms:modified xsi:type="dcterms:W3CDTF">2021-10-14T17:41:00Z</dcterms:modified>
</cp:coreProperties>
</file>