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101"/>
        <w:tblW w:w="10075" w:type="dxa"/>
        <w:tblBorders>
          <w:bottom w:val="single" w:sz="4" w:space="0" w:color="auto"/>
        </w:tblBorders>
        <w:tblLook w:val="04A0" w:firstRow="1" w:lastRow="0" w:firstColumn="1" w:lastColumn="0" w:noHBand="0" w:noVBand="1"/>
      </w:tblPr>
      <w:tblGrid>
        <w:gridCol w:w="1571"/>
        <w:gridCol w:w="8504"/>
      </w:tblGrid>
      <w:tr w:rsidR="00C64FF2" w:rsidRPr="00266720" w14:paraId="0EFD30DE" w14:textId="77777777" w:rsidTr="00C92B88">
        <w:trPr>
          <w:trHeight w:val="432"/>
        </w:trPr>
        <w:tc>
          <w:tcPr>
            <w:tcW w:w="1571" w:type="dxa"/>
            <w:vAlign w:val="center"/>
          </w:tcPr>
          <w:p w14:paraId="37DB0C35" w14:textId="77777777" w:rsidR="00C64FF2" w:rsidRPr="00266720" w:rsidRDefault="00C64FF2" w:rsidP="00C92B88">
            <w:pPr>
              <w:spacing w:before="100" w:beforeAutospacing="1" w:after="100" w:afterAutospacing="1" w:line="240" w:lineRule="auto"/>
              <w:ind w:right="331"/>
              <w:outlineLvl w:val="0"/>
              <w:rPr>
                <w:rFonts w:ascii="Aptos Serif" w:eastAsia="Times New Roman" w:hAnsi="Aptos Serif" w:cs="Aptos Serif"/>
                <w:b/>
                <w:bCs/>
                <w:kern w:val="36"/>
                <w14:ligatures w14:val="none"/>
              </w:rPr>
            </w:pPr>
            <w:r w:rsidRPr="00266720">
              <w:rPr>
                <w:rFonts w:ascii="Aptos Serif" w:eastAsia="Times New Roman" w:hAnsi="Aptos Serif" w:cs="Aptos Serif"/>
                <w:b/>
                <w:bCs/>
                <w:kern w:val="36"/>
                <w14:ligatures w14:val="none"/>
              </w:rPr>
              <w:t>To:</w:t>
            </w:r>
          </w:p>
        </w:tc>
        <w:tc>
          <w:tcPr>
            <w:tcW w:w="8504" w:type="dxa"/>
            <w:vAlign w:val="center"/>
          </w:tcPr>
          <w:p w14:paraId="697029B7" w14:textId="68B664CA" w:rsidR="00C64FF2" w:rsidRPr="00266720" w:rsidRDefault="00C64FF2" w:rsidP="00C92B88">
            <w:pPr>
              <w:spacing w:before="100" w:beforeAutospacing="1" w:after="100" w:afterAutospacing="1" w:line="240" w:lineRule="auto"/>
              <w:ind w:right="331"/>
              <w:outlineLvl w:val="0"/>
              <w:rPr>
                <w:rFonts w:ascii="Aptos Serif" w:eastAsia="Times New Roman" w:hAnsi="Aptos Serif" w:cs="Aptos Serif"/>
                <w:kern w:val="36"/>
                <w14:ligatures w14:val="none"/>
              </w:rPr>
            </w:pPr>
            <w:r w:rsidRPr="00266720">
              <w:rPr>
                <w:rFonts w:ascii="Aptos Serif" w:eastAsia="Times New Roman" w:hAnsi="Aptos Serif" w:cs="Aptos Serif"/>
                <w:kern w:val="36"/>
                <w14:ligatures w14:val="none"/>
              </w:rPr>
              <w:t xml:space="preserve">Executive Office of the Governor </w:t>
            </w:r>
          </w:p>
        </w:tc>
      </w:tr>
      <w:tr w:rsidR="00C64FF2" w:rsidRPr="00266720" w14:paraId="6B9C5334" w14:textId="77777777" w:rsidTr="00C92B88">
        <w:trPr>
          <w:trHeight w:val="432"/>
        </w:trPr>
        <w:tc>
          <w:tcPr>
            <w:tcW w:w="1571" w:type="dxa"/>
            <w:vAlign w:val="center"/>
          </w:tcPr>
          <w:p w14:paraId="224870E5" w14:textId="77777777" w:rsidR="00C64FF2" w:rsidRPr="00266720" w:rsidRDefault="00C64FF2" w:rsidP="00C92B88">
            <w:pPr>
              <w:spacing w:before="100" w:beforeAutospacing="1" w:after="100" w:afterAutospacing="1" w:line="240" w:lineRule="auto"/>
              <w:outlineLvl w:val="0"/>
              <w:rPr>
                <w:rFonts w:ascii="Aptos Serif" w:eastAsia="Times New Roman" w:hAnsi="Aptos Serif" w:cs="Aptos Serif"/>
                <w:b/>
                <w:bCs/>
                <w:kern w:val="36"/>
                <w14:ligatures w14:val="none"/>
              </w:rPr>
            </w:pPr>
            <w:r w:rsidRPr="00266720">
              <w:rPr>
                <w:rFonts w:ascii="Aptos Serif" w:eastAsia="Times New Roman" w:hAnsi="Aptos Serif" w:cs="Aptos Serif"/>
                <w:b/>
                <w:bCs/>
                <w:kern w:val="36"/>
                <w14:ligatures w14:val="none"/>
              </w:rPr>
              <w:t>From:</w:t>
            </w:r>
          </w:p>
        </w:tc>
        <w:tc>
          <w:tcPr>
            <w:tcW w:w="8504" w:type="dxa"/>
            <w:vAlign w:val="center"/>
          </w:tcPr>
          <w:p w14:paraId="501FB62A" w14:textId="5C44C03C" w:rsidR="00C64FF2" w:rsidRPr="00266720" w:rsidRDefault="00C64FF2" w:rsidP="00C92B88">
            <w:pPr>
              <w:spacing w:before="100" w:beforeAutospacing="1" w:after="100" w:afterAutospacing="1" w:line="240" w:lineRule="auto"/>
              <w:outlineLvl w:val="0"/>
              <w:rPr>
                <w:rFonts w:ascii="Aptos Serif" w:eastAsia="Times New Roman" w:hAnsi="Aptos Serif" w:cs="Aptos Serif"/>
                <w:kern w:val="36"/>
                <w14:ligatures w14:val="none"/>
              </w:rPr>
            </w:pPr>
            <w:r w:rsidRPr="00266720">
              <w:rPr>
                <w:rFonts w:ascii="Aptos Serif" w:eastAsia="Times New Roman" w:hAnsi="Aptos Serif" w:cs="Aptos Serif"/>
                <w:kern w:val="36"/>
                <w14:ligatures w14:val="none"/>
              </w:rPr>
              <w:t xml:space="preserve">Michigan Economic Development Corporation </w:t>
            </w:r>
          </w:p>
        </w:tc>
      </w:tr>
      <w:tr w:rsidR="00C64FF2" w:rsidRPr="00266720" w14:paraId="435B4E8E" w14:textId="77777777" w:rsidTr="00C92B88">
        <w:trPr>
          <w:trHeight w:val="432"/>
        </w:trPr>
        <w:tc>
          <w:tcPr>
            <w:tcW w:w="1571" w:type="dxa"/>
            <w:vAlign w:val="center"/>
          </w:tcPr>
          <w:p w14:paraId="6730EBF2" w14:textId="77777777" w:rsidR="00C64FF2" w:rsidRPr="00266720" w:rsidRDefault="00C64FF2" w:rsidP="00C92B88">
            <w:pPr>
              <w:spacing w:before="100" w:beforeAutospacing="1" w:after="100" w:afterAutospacing="1" w:line="240" w:lineRule="auto"/>
              <w:outlineLvl w:val="0"/>
              <w:rPr>
                <w:rFonts w:ascii="Aptos Serif" w:eastAsia="Times New Roman" w:hAnsi="Aptos Serif" w:cs="Aptos Serif"/>
                <w:b/>
                <w:bCs/>
                <w:kern w:val="36"/>
                <w14:ligatures w14:val="none"/>
              </w:rPr>
            </w:pPr>
            <w:r w:rsidRPr="00266720">
              <w:rPr>
                <w:rFonts w:ascii="Aptos Serif" w:eastAsia="Times New Roman" w:hAnsi="Aptos Serif" w:cs="Aptos Serif"/>
                <w:b/>
                <w:bCs/>
                <w:kern w:val="36"/>
                <w14:ligatures w14:val="none"/>
              </w:rPr>
              <w:t>Date:</w:t>
            </w:r>
          </w:p>
        </w:tc>
        <w:tc>
          <w:tcPr>
            <w:tcW w:w="8504" w:type="dxa"/>
            <w:vAlign w:val="center"/>
          </w:tcPr>
          <w:p w14:paraId="5AD89F12" w14:textId="54DDB49B" w:rsidR="00C64FF2" w:rsidRPr="00266720" w:rsidRDefault="004E5AC2" w:rsidP="00C92B88">
            <w:pPr>
              <w:spacing w:before="100" w:beforeAutospacing="1" w:after="100" w:afterAutospacing="1" w:line="240" w:lineRule="auto"/>
              <w:outlineLvl w:val="0"/>
              <w:rPr>
                <w:rFonts w:ascii="Aptos Serif" w:eastAsia="Times New Roman" w:hAnsi="Aptos Serif" w:cs="Aptos Serif"/>
                <w:kern w:val="36"/>
                <w14:ligatures w14:val="none"/>
              </w:rPr>
            </w:pPr>
            <w:r w:rsidRPr="00266720">
              <w:rPr>
                <w:rFonts w:ascii="Aptos Serif" w:eastAsia="Times New Roman" w:hAnsi="Aptos Serif" w:cs="Aptos Serif"/>
                <w:kern w:val="36"/>
                <w14:ligatures w14:val="none"/>
              </w:rPr>
              <w:t>July 1, 2026</w:t>
            </w:r>
          </w:p>
        </w:tc>
      </w:tr>
      <w:tr w:rsidR="00C64FF2" w:rsidRPr="00266720" w14:paraId="51A51E43" w14:textId="77777777" w:rsidTr="00C92B88">
        <w:trPr>
          <w:trHeight w:val="432"/>
        </w:trPr>
        <w:tc>
          <w:tcPr>
            <w:tcW w:w="1571" w:type="dxa"/>
            <w:vAlign w:val="center"/>
          </w:tcPr>
          <w:p w14:paraId="20E16F56" w14:textId="77777777" w:rsidR="00C64FF2" w:rsidRPr="00266720" w:rsidRDefault="00C64FF2" w:rsidP="00C92B88">
            <w:pPr>
              <w:spacing w:before="100" w:beforeAutospacing="1" w:after="100" w:afterAutospacing="1" w:line="240" w:lineRule="auto"/>
              <w:outlineLvl w:val="0"/>
              <w:rPr>
                <w:rFonts w:ascii="Aptos Serif" w:eastAsia="Times New Roman" w:hAnsi="Aptos Serif" w:cs="Aptos Serif"/>
                <w:b/>
                <w:bCs/>
                <w:kern w:val="36"/>
                <w14:ligatures w14:val="none"/>
              </w:rPr>
            </w:pPr>
            <w:r w:rsidRPr="00266720">
              <w:rPr>
                <w:rFonts w:ascii="Aptos Serif" w:eastAsia="Times New Roman" w:hAnsi="Aptos Serif" w:cs="Aptos Serif"/>
                <w:b/>
                <w:bCs/>
                <w:kern w:val="36"/>
                <w14:ligatures w14:val="none"/>
              </w:rPr>
              <w:t>Subject:</w:t>
            </w:r>
          </w:p>
        </w:tc>
        <w:tc>
          <w:tcPr>
            <w:tcW w:w="8504" w:type="dxa"/>
            <w:vAlign w:val="center"/>
          </w:tcPr>
          <w:p w14:paraId="0378F03E" w14:textId="5842F333" w:rsidR="00C64FF2" w:rsidRPr="00266720" w:rsidRDefault="00C64FF2" w:rsidP="00C92B88">
            <w:pPr>
              <w:spacing w:before="100" w:beforeAutospacing="1" w:after="100" w:afterAutospacing="1" w:line="240" w:lineRule="auto"/>
              <w:outlineLvl w:val="0"/>
              <w:rPr>
                <w:rFonts w:ascii="Aptos Serif" w:eastAsia="Times New Roman" w:hAnsi="Aptos Serif" w:cs="Aptos Serif"/>
                <w:kern w:val="36"/>
                <w14:ligatures w14:val="none"/>
              </w:rPr>
            </w:pPr>
            <w:r w:rsidRPr="00266720">
              <w:rPr>
                <w:rFonts w:ascii="Aptos Serif" w:eastAsia="Times New Roman" w:hAnsi="Aptos Serif" w:cs="Aptos Serif"/>
                <w:kern w:val="36"/>
                <w14:ligatures w14:val="none"/>
              </w:rPr>
              <w:t>Response to Executive Directive 2026-2: Tariff Impacts on Michigan’s Economy</w:t>
            </w:r>
          </w:p>
        </w:tc>
      </w:tr>
    </w:tbl>
    <w:p w14:paraId="406F4E6D" w14:textId="77777777" w:rsidR="00596EA4" w:rsidRDefault="00596EA4" w:rsidP="006B2C66">
      <w:pPr>
        <w:rPr>
          <w:rFonts w:ascii="Aptos Serif" w:hAnsi="Aptos Serif" w:cs="Aptos Serif"/>
        </w:rPr>
      </w:pPr>
    </w:p>
    <w:p w14:paraId="4DD81CF1" w14:textId="7B8BE223" w:rsidR="002C2C12" w:rsidRPr="00266720" w:rsidRDefault="00C75CE4" w:rsidP="006B2C66">
      <w:pPr>
        <w:rPr>
          <w:rFonts w:ascii="Aptos Serif" w:hAnsi="Aptos Serif" w:cs="Aptos Serif"/>
        </w:rPr>
      </w:pPr>
      <w:r w:rsidRPr="00266720">
        <w:rPr>
          <w:rFonts w:ascii="Aptos Serif" w:hAnsi="Aptos Serif" w:cs="Aptos Serif"/>
        </w:rPr>
        <w:t>An MEDC review of</w:t>
      </w:r>
      <w:r w:rsidR="002A7FF9" w:rsidRPr="00266720">
        <w:rPr>
          <w:rFonts w:ascii="Aptos Serif" w:hAnsi="Aptos Serif" w:cs="Aptos Serif"/>
        </w:rPr>
        <w:t xml:space="preserve"> th</w:t>
      </w:r>
      <w:r w:rsidR="00F32FDA" w:rsidRPr="00266720">
        <w:rPr>
          <w:rFonts w:ascii="Aptos Serif" w:hAnsi="Aptos Serif" w:cs="Aptos Serif"/>
        </w:rPr>
        <w:t>ird-party</w:t>
      </w:r>
      <w:r w:rsidR="002A7FF9" w:rsidRPr="00266720">
        <w:rPr>
          <w:rFonts w:ascii="Aptos Serif" w:hAnsi="Aptos Serif" w:cs="Aptos Serif"/>
        </w:rPr>
        <w:t xml:space="preserve"> economic data and MEDC organizational </w:t>
      </w:r>
      <w:r w:rsidR="00BC49D9" w:rsidRPr="00266720">
        <w:rPr>
          <w:rFonts w:ascii="Aptos Serif" w:hAnsi="Aptos Serif" w:cs="Aptos Serif"/>
        </w:rPr>
        <w:t>trends</w:t>
      </w:r>
      <w:r w:rsidR="004D66FF" w:rsidRPr="00266720">
        <w:rPr>
          <w:rFonts w:ascii="Aptos Serif" w:hAnsi="Aptos Serif" w:cs="Aptos Serif"/>
        </w:rPr>
        <w:t xml:space="preserve"> dating back to January 2025</w:t>
      </w:r>
      <w:r w:rsidR="00BC49D9" w:rsidRPr="00266720">
        <w:rPr>
          <w:rFonts w:ascii="Aptos Serif" w:hAnsi="Aptos Serif" w:cs="Aptos Serif"/>
        </w:rPr>
        <w:t xml:space="preserve"> </w:t>
      </w:r>
      <w:r w:rsidR="00244807" w:rsidRPr="00266720">
        <w:rPr>
          <w:rFonts w:ascii="Aptos Serif" w:hAnsi="Aptos Serif" w:cs="Aptos Serif"/>
        </w:rPr>
        <w:t>indicate</w:t>
      </w:r>
      <w:r w:rsidR="004D66FF" w:rsidRPr="00266720">
        <w:rPr>
          <w:rFonts w:ascii="Aptos Serif" w:hAnsi="Aptos Serif" w:cs="Aptos Serif"/>
        </w:rPr>
        <w:t>s</w:t>
      </w:r>
      <w:r w:rsidR="001F1478" w:rsidRPr="00266720">
        <w:rPr>
          <w:rFonts w:ascii="Aptos Serif" w:hAnsi="Aptos Serif" w:cs="Aptos Serif"/>
        </w:rPr>
        <w:t xml:space="preserve"> </w:t>
      </w:r>
      <w:r w:rsidR="00973382" w:rsidRPr="00266720">
        <w:rPr>
          <w:rFonts w:ascii="Aptos Serif" w:hAnsi="Aptos Serif" w:cs="Aptos Serif"/>
        </w:rPr>
        <w:t xml:space="preserve">emerging pressures in Michigan’s </w:t>
      </w:r>
      <w:r w:rsidR="002A7FF9" w:rsidRPr="00266720">
        <w:rPr>
          <w:rFonts w:ascii="Aptos Serif" w:hAnsi="Aptos Serif" w:cs="Aptos Serif"/>
        </w:rPr>
        <w:t>key industries, investment</w:t>
      </w:r>
      <w:r w:rsidR="00973382" w:rsidRPr="00266720">
        <w:rPr>
          <w:rFonts w:ascii="Aptos Serif" w:hAnsi="Aptos Serif" w:cs="Aptos Serif"/>
        </w:rPr>
        <w:t xml:space="preserve"> activity</w:t>
      </w:r>
      <w:r w:rsidR="002A7FF9" w:rsidRPr="00266720">
        <w:rPr>
          <w:rFonts w:ascii="Aptos Serif" w:hAnsi="Aptos Serif" w:cs="Aptos Serif"/>
        </w:rPr>
        <w:t>, and job creation.</w:t>
      </w:r>
    </w:p>
    <w:p w14:paraId="22C8E304" w14:textId="218E2F28" w:rsidR="00414C1C" w:rsidRPr="00266720" w:rsidRDefault="0093228F" w:rsidP="00F64377">
      <w:pPr>
        <w:ind w:left="-90" w:firstLine="90"/>
        <w:rPr>
          <w:rFonts w:ascii="Aptos Serif" w:hAnsi="Aptos Serif" w:cs="Aptos Serif"/>
          <w:b/>
          <w:bCs/>
        </w:rPr>
      </w:pPr>
      <w:r w:rsidRPr="00266720">
        <w:rPr>
          <w:rFonts w:ascii="Aptos Serif" w:hAnsi="Aptos Serif" w:cs="Aptos Serif"/>
          <w:b/>
          <w:bCs/>
        </w:rPr>
        <w:t>The cost of supplies and consumer goods is up</w:t>
      </w:r>
    </w:p>
    <w:p w14:paraId="7CB2186C" w14:textId="76F863DA" w:rsidR="00414C1C" w:rsidRPr="00266720" w:rsidRDefault="005E68BE" w:rsidP="00F64377">
      <w:pPr>
        <w:rPr>
          <w:rFonts w:ascii="Aptos Serif" w:hAnsi="Aptos Serif" w:cs="Aptos Serif"/>
        </w:rPr>
      </w:pPr>
      <w:r w:rsidRPr="00266720">
        <w:rPr>
          <w:rFonts w:ascii="Aptos Serif" w:hAnsi="Aptos Serif" w:cs="Aptos Serif"/>
        </w:rPr>
        <w:t>There is mounting evidence that the cost of tariffs is being passed onto consumer</w:t>
      </w:r>
      <w:r w:rsidR="000B31E0" w:rsidRPr="00266720">
        <w:rPr>
          <w:rFonts w:ascii="Aptos Serif" w:hAnsi="Aptos Serif" w:cs="Aptos Serif"/>
        </w:rPr>
        <w:t xml:space="preserve">s, as illustrated by rising prices on </w:t>
      </w:r>
      <w:r w:rsidR="002244F5" w:rsidRPr="00266720">
        <w:rPr>
          <w:rFonts w:ascii="Aptos Serif" w:hAnsi="Aptos Serif" w:cs="Aptos Serif"/>
        </w:rPr>
        <w:t>manufacturing inputs</w:t>
      </w:r>
      <w:r w:rsidR="008963BF" w:rsidRPr="00266720">
        <w:rPr>
          <w:rFonts w:ascii="Aptos Serif" w:hAnsi="Aptos Serif" w:cs="Aptos Serif"/>
        </w:rPr>
        <w:t>, commercial real estate</w:t>
      </w:r>
      <w:r w:rsidR="002244F5" w:rsidRPr="00266720">
        <w:rPr>
          <w:rFonts w:ascii="Aptos Serif" w:hAnsi="Aptos Serif" w:cs="Aptos Serif"/>
        </w:rPr>
        <w:t xml:space="preserve"> materials</w:t>
      </w:r>
      <w:r w:rsidR="008963BF" w:rsidRPr="00266720">
        <w:rPr>
          <w:rFonts w:ascii="Aptos Serif" w:hAnsi="Aptos Serif" w:cs="Aptos Serif"/>
        </w:rPr>
        <w:t xml:space="preserve">, and </w:t>
      </w:r>
      <w:r w:rsidR="000B31E0" w:rsidRPr="00266720">
        <w:rPr>
          <w:rFonts w:ascii="Aptos Serif" w:hAnsi="Aptos Serif" w:cs="Aptos Serif"/>
        </w:rPr>
        <w:t xml:space="preserve">consumer goods. </w:t>
      </w:r>
    </w:p>
    <w:p w14:paraId="22AA7137" w14:textId="5718BE1B" w:rsidR="00E7128C" w:rsidRPr="00266720" w:rsidRDefault="00770096" w:rsidP="00F64377">
      <w:pPr>
        <w:rPr>
          <w:rFonts w:ascii="Aptos Serif" w:hAnsi="Aptos Serif" w:cs="Aptos Serif"/>
        </w:rPr>
      </w:pPr>
      <w:r w:rsidRPr="00266720">
        <w:rPr>
          <w:rFonts w:ascii="Aptos Serif" w:hAnsi="Aptos Serif" w:cs="Aptos Serif"/>
        </w:rPr>
        <w:t xml:space="preserve">On the manufacturing side, Producer Price Index (PPI) figures from the U.S. Bureau of Labor Statistics show that </w:t>
      </w:r>
      <w:r w:rsidR="00C71BC9" w:rsidRPr="00266720">
        <w:rPr>
          <w:rFonts w:ascii="Aptos Serif" w:hAnsi="Aptos Serif" w:cs="Aptos Serif"/>
        </w:rPr>
        <w:t>the cost of Metals and Metal Products are up 17.8% between February 2025 and February 2026. This includes a 15</w:t>
      </w:r>
      <w:r w:rsidR="003945F8" w:rsidRPr="00266720">
        <w:rPr>
          <w:rFonts w:ascii="Aptos Serif" w:hAnsi="Aptos Serif" w:cs="Aptos Serif"/>
        </w:rPr>
        <w:t>.3% increase in the cost of Iron</w:t>
      </w:r>
      <w:r w:rsidR="00BD22C0" w:rsidRPr="00266720">
        <w:rPr>
          <w:rFonts w:ascii="Aptos Serif" w:hAnsi="Aptos Serif" w:cs="Aptos Serif"/>
        </w:rPr>
        <w:t xml:space="preserve"> and Steel and a </w:t>
      </w:r>
      <w:r w:rsidR="00C04FB1" w:rsidRPr="00266720">
        <w:rPr>
          <w:rFonts w:ascii="Aptos Serif" w:hAnsi="Aptos Serif" w:cs="Aptos Serif"/>
        </w:rPr>
        <w:t>33.8% increase in the cost of Aluminum Scrap.</w:t>
      </w:r>
      <w:r w:rsidR="00617F24" w:rsidRPr="00266720">
        <w:rPr>
          <w:rFonts w:ascii="Aptos Serif" w:hAnsi="Aptos Serif" w:cs="Aptos Serif"/>
        </w:rPr>
        <w:t xml:space="preserve"> </w:t>
      </w:r>
      <w:r w:rsidR="00C60AA1" w:rsidRPr="00266720">
        <w:rPr>
          <w:rFonts w:ascii="Aptos Serif" w:hAnsi="Aptos Serif" w:cs="Aptos Serif"/>
        </w:rPr>
        <w:t xml:space="preserve">Subsequently, </w:t>
      </w:r>
      <w:r w:rsidR="002244F5" w:rsidRPr="00266720">
        <w:rPr>
          <w:rFonts w:ascii="Aptos Serif" w:hAnsi="Aptos Serif" w:cs="Aptos Serif"/>
        </w:rPr>
        <w:t>k</w:t>
      </w:r>
      <w:r w:rsidR="00C60AA1" w:rsidRPr="00266720">
        <w:rPr>
          <w:rFonts w:ascii="Aptos Serif" w:hAnsi="Aptos Serif" w:cs="Aptos Serif"/>
        </w:rPr>
        <w:t>ey inputs for manufacturing and construction are also rising. An analysis by Cushman &amp; Wakefield in April 2026 estimates that tariff-related supply chain effects will push the cost of commercial real estate (CRE) construction materials up 6.0% over the 2024 baseline, resulting in an estimated 3.0% increase in total CRE project costs.</w:t>
      </w:r>
      <w:bookmarkStart w:id="0" w:name="_Ref230100315"/>
      <w:r w:rsidR="00C60AA1" w:rsidRPr="00266720">
        <w:rPr>
          <w:rStyle w:val="FootnoteReference"/>
          <w:rFonts w:ascii="Aptos Serif" w:hAnsi="Aptos Serif" w:cs="Aptos Serif"/>
        </w:rPr>
        <w:footnoteReference w:id="1"/>
      </w:r>
      <w:bookmarkEnd w:id="0"/>
      <w:r w:rsidR="00C60AA1" w:rsidRPr="00266720">
        <w:rPr>
          <w:rFonts w:ascii="Aptos Serif" w:hAnsi="Aptos Serif" w:cs="Aptos Serif"/>
        </w:rPr>
        <w:t xml:space="preserve"> This represents a downward revision from their 2025 estimates, when tariff rates were higher, but still a major impact on the industry’s bottom line.</w:t>
      </w:r>
    </w:p>
    <w:p w14:paraId="58C2A9C8" w14:textId="77777777" w:rsidR="00F64377" w:rsidRPr="00266720" w:rsidRDefault="00C60AA1" w:rsidP="00F64377">
      <w:pPr>
        <w:rPr>
          <w:rFonts w:ascii="Aptos Serif" w:hAnsi="Aptos Serif" w:cs="Aptos Serif"/>
        </w:rPr>
      </w:pPr>
      <w:r w:rsidRPr="00266720">
        <w:rPr>
          <w:rFonts w:ascii="Aptos Serif" w:hAnsi="Aptos Serif" w:cs="Aptos Serif"/>
        </w:rPr>
        <w:t xml:space="preserve">Increased costs for businesses may be passed on to consumers. </w:t>
      </w:r>
      <w:r w:rsidR="008963BF" w:rsidRPr="00266720">
        <w:rPr>
          <w:rFonts w:ascii="Aptos Serif" w:hAnsi="Aptos Serif" w:cs="Aptos Serif"/>
        </w:rPr>
        <w:t>The Yale Budget Lab (YBL) finds that “goods prices have increased since the beginning of the year, both in absolute terms and against reasonable estimates of pre-2025 trend.”</w:t>
      </w:r>
      <w:r w:rsidR="008963BF" w:rsidRPr="00266720">
        <w:rPr>
          <w:rStyle w:val="FootnoteReference"/>
          <w:rFonts w:ascii="Aptos Serif" w:hAnsi="Aptos Serif" w:cs="Aptos Serif"/>
        </w:rPr>
        <w:footnoteReference w:id="2"/>
      </w:r>
      <w:r w:rsidR="008963BF" w:rsidRPr="00266720">
        <w:rPr>
          <w:rFonts w:ascii="Aptos Serif" w:hAnsi="Aptos Serif" w:cs="Aptos Serif"/>
        </w:rPr>
        <w:t xml:space="preserve"> Using the trend baseline, YBL demonstrates that prices for both core goods and durable goods are </w:t>
      </w:r>
      <w:r w:rsidR="008963BF" w:rsidRPr="00266720">
        <w:rPr>
          <w:rFonts w:ascii="Aptos Serif" w:hAnsi="Aptos Serif" w:cs="Aptos Serif"/>
        </w:rPr>
        <w:lastRenderedPageBreak/>
        <w:t>above the estimated pre-2025 trend for January 2026, with increases of 3.4% and 4.1%, respectively.</w:t>
      </w:r>
    </w:p>
    <w:p w14:paraId="266BE62E" w14:textId="3BE244DD" w:rsidR="003D08AA" w:rsidRPr="00266720" w:rsidRDefault="003D08AA" w:rsidP="00F64377">
      <w:pPr>
        <w:rPr>
          <w:rFonts w:ascii="Aptos Serif" w:hAnsi="Aptos Serif" w:cs="Aptos Serif"/>
        </w:rPr>
      </w:pPr>
      <w:r w:rsidRPr="00266720">
        <w:rPr>
          <w:rFonts w:ascii="Aptos Serif" w:hAnsi="Aptos Serif" w:cs="Aptos Serif"/>
        </w:rPr>
        <w:t xml:space="preserve">Changes in economic conditions influence </w:t>
      </w:r>
      <w:r w:rsidR="00F32FDA" w:rsidRPr="00266720">
        <w:rPr>
          <w:rFonts w:ascii="Aptos Serif" w:hAnsi="Aptos Serif" w:cs="Aptos Serif"/>
        </w:rPr>
        <w:t xml:space="preserve">the automotive sector. Consistent with rising consumer cost trends, </w:t>
      </w:r>
      <w:r w:rsidR="009F785D" w:rsidRPr="00266720">
        <w:rPr>
          <w:rFonts w:ascii="Aptos Serif" w:hAnsi="Aptos Serif" w:cs="Aptos Serif"/>
        </w:rPr>
        <w:t xml:space="preserve">the </w:t>
      </w:r>
      <w:r w:rsidR="00F32FDA" w:rsidRPr="00266720">
        <w:rPr>
          <w:rFonts w:ascii="Aptos Serif" w:hAnsi="Aptos Serif" w:cs="Aptos Serif"/>
        </w:rPr>
        <w:t xml:space="preserve">average list price of </w:t>
      </w:r>
      <w:r w:rsidR="009F785D" w:rsidRPr="00266720">
        <w:rPr>
          <w:rFonts w:ascii="Aptos Serif" w:hAnsi="Aptos Serif" w:cs="Aptos Serif"/>
        </w:rPr>
        <w:t xml:space="preserve">a new </w:t>
      </w:r>
      <w:r w:rsidR="00F32FDA" w:rsidRPr="00266720">
        <w:rPr>
          <w:rFonts w:ascii="Aptos Serif" w:hAnsi="Aptos Serif" w:cs="Aptos Serif"/>
        </w:rPr>
        <w:t>vehicle in the U</w:t>
      </w:r>
      <w:r w:rsidR="00E358BF" w:rsidRPr="00266720">
        <w:rPr>
          <w:rFonts w:ascii="Aptos Serif" w:hAnsi="Aptos Serif" w:cs="Aptos Serif"/>
        </w:rPr>
        <w:t>.</w:t>
      </w:r>
      <w:r w:rsidR="00F32FDA" w:rsidRPr="00266720">
        <w:rPr>
          <w:rFonts w:ascii="Aptos Serif" w:hAnsi="Aptos Serif" w:cs="Aptos Serif"/>
        </w:rPr>
        <w:t>S</w:t>
      </w:r>
      <w:r w:rsidR="00E358BF" w:rsidRPr="00266720">
        <w:rPr>
          <w:rFonts w:ascii="Aptos Serif" w:hAnsi="Aptos Serif" w:cs="Aptos Serif"/>
        </w:rPr>
        <w:t>.</w:t>
      </w:r>
      <w:r w:rsidR="00F32FDA" w:rsidRPr="00266720">
        <w:rPr>
          <w:rFonts w:ascii="Aptos Serif" w:hAnsi="Aptos Serif" w:cs="Aptos Serif"/>
        </w:rPr>
        <w:t xml:space="preserve"> is over $51,000, up almost $2000 year over year</w:t>
      </w:r>
      <w:r w:rsidR="00832A3A" w:rsidRPr="00266720">
        <w:rPr>
          <w:rFonts w:ascii="Aptos Serif" w:hAnsi="Aptos Serif" w:cs="Aptos Serif"/>
        </w:rPr>
        <w:t>.</w:t>
      </w:r>
      <w:r w:rsidR="00F32FDA" w:rsidRPr="00266720">
        <w:rPr>
          <w:rStyle w:val="FootnoteReference"/>
          <w:rFonts w:ascii="Aptos Serif" w:hAnsi="Aptos Serif" w:cs="Aptos Serif"/>
        </w:rPr>
        <w:footnoteReference w:id="3"/>
      </w:r>
      <w:r w:rsidR="00F32FDA" w:rsidRPr="00266720">
        <w:rPr>
          <w:rFonts w:ascii="Aptos Serif" w:hAnsi="Aptos Serif" w:cs="Aptos Serif"/>
        </w:rPr>
        <w:t xml:space="preserve"> S&amp;P Global Mobility has downgraded its North American global vehicle production forecast by over 500,000 units, citing rising prices due to gas and tariff impacts. The 2026 and 2027 forecast falls below 15 million units, the first time since the pandemic.</w:t>
      </w:r>
      <w:r w:rsidR="00034C74" w:rsidRPr="00266720">
        <w:rPr>
          <w:rStyle w:val="FootnoteReference"/>
          <w:rFonts w:ascii="Aptos Serif" w:hAnsi="Aptos Serif" w:cs="Aptos Serif"/>
        </w:rPr>
        <w:footnoteReference w:id="4"/>
      </w:r>
      <w:r w:rsidR="00F32FDA" w:rsidRPr="00266720">
        <w:rPr>
          <w:rFonts w:ascii="Aptos Serif" w:hAnsi="Aptos Serif" w:cs="Aptos Serif"/>
        </w:rPr>
        <w:t xml:space="preserve"> </w:t>
      </w:r>
    </w:p>
    <w:p w14:paraId="43FDB578" w14:textId="76E20ABB" w:rsidR="00B3557E" w:rsidRPr="00266720" w:rsidRDefault="0093228F" w:rsidP="00F64377">
      <w:pPr>
        <w:rPr>
          <w:rFonts w:ascii="Aptos Serif" w:hAnsi="Aptos Serif" w:cs="Aptos Serif"/>
        </w:rPr>
      </w:pPr>
      <w:r w:rsidRPr="00266720">
        <w:rPr>
          <w:rFonts w:ascii="Aptos Serif" w:hAnsi="Aptos Serif" w:cs="Aptos Serif"/>
          <w:b/>
          <w:bCs/>
        </w:rPr>
        <w:t xml:space="preserve">International trade spikes just before the implementation of Liberation Day tariffs </w:t>
      </w:r>
    </w:p>
    <w:p w14:paraId="717DC1CC" w14:textId="59368E2B" w:rsidR="005123C8" w:rsidRPr="00266720" w:rsidRDefault="00C60AA1" w:rsidP="00F64377">
      <w:pPr>
        <w:rPr>
          <w:rFonts w:ascii="Aptos Serif" w:hAnsi="Aptos Serif" w:cs="Aptos Serif"/>
        </w:rPr>
      </w:pPr>
      <w:r w:rsidRPr="00266720">
        <w:rPr>
          <w:rFonts w:ascii="Aptos Serif" w:hAnsi="Aptos Serif" w:cs="Aptos Serif"/>
        </w:rPr>
        <w:t>T</w:t>
      </w:r>
      <w:r w:rsidR="0036392D" w:rsidRPr="00266720">
        <w:rPr>
          <w:rFonts w:ascii="Aptos Serif" w:hAnsi="Aptos Serif" w:cs="Aptos Serif"/>
        </w:rPr>
        <w:t>he</w:t>
      </w:r>
      <w:r w:rsidR="00361FD3" w:rsidRPr="00266720">
        <w:rPr>
          <w:rFonts w:ascii="Aptos Serif" w:hAnsi="Aptos Serif" w:cs="Aptos Serif"/>
        </w:rPr>
        <w:t xml:space="preserve"> announcement and enforcement of </w:t>
      </w:r>
      <w:r w:rsidRPr="00266720">
        <w:rPr>
          <w:rFonts w:ascii="Aptos Serif" w:hAnsi="Aptos Serif" w:cs="Aptos Serif"/>
        </w:rPr>
        <w:t xml:space="preserve">Liberation Day </w:t>
      </w:r>
      <w:r w:rsidR="00361FD3" w:rsidRPr="00266720">
        <w:rPr>
          <w:rFonts w:ascii="Aptos Serif" w:hAnsi="Aptos Serif" w:cs="Aptos Serif"/>
        </w:rPr>
        <w:t xml:space="preserve">tariffs do seem to have impacted U.S. trade. Yale Budget Lab shows that </w:t>
      </w:r>
      <w:r w:rsidR="004E59DD" w:rsidRPr="00266720">
        <w:rPr>
          <w:rFonts w:ascii="Aptos Serif" w:hAnsi="Aptos Serif" w:cs="Aptos Serif"/>
        </w:rPr>
        <w:t xml:space="preserve">imports in Quarter 1 of 2025 increased to 22% above the 2024 baseline, as </w:t>
      </w:r>
      <w:r w:rsidR="00C709BA" w:rsidRPr="00266720">
        <w:rPr>
          <w:rFonts w:ascii="Aptos Serif" w:hAnsi="Aptos Serif" w:cs="Aptos Serif"/>
        </w:rPr>
        <w:t xml:space="preserve">importers anticipated the tariffs taking effect. </w:t>
      </w:r>
      <w:r w:rsidRPr="00266720">
        <w:rPr>
          <w:rFonts w:ascii="Aptos Serif" w:hAnsi="Aptos Serif" w:cs="Aptos Serif"/>
        </w:rPr>
        <w:t xml:space="preserve"> Following a brief 22% spending increase during Q1 2025, imports a</w:t>
      </w:r>
      <w:r w:rsidR="00F73F9E" w:rsidRPr="00266720">
        <w:rPr>
          <w:rFonts w:ascii="Aptos Serif" w:hAnsi="Aptos Serif" w:cs="Aptos Serif"/>
        </w:rPr>
        <w:t xml:space="preserve">s of January 2026 are cumulatively </w:t>
      </w:r>
      <w:r w:rsidR="00F64377" w:rsidRPr="00266720">
        <w:rPr>
          <w:rFonts w:ascii="Aptos Serif" w:hAnsi="Aptos Serif" w:cs="Aptos Serif"/>
        </w:rPr>
        <w:t xml:space="preserve">$16.4 billion </w:t>
      </w:r>
      <w:r w:rsidR="00F73F9E" w:rsidRPr="00266720">
        <w:rPr>
          <w:rFonts w:ascii="Aptos Serif" w:hAnsi="Aptos Serif" w:cs="Aptos Serif"/>
        </w:rPr>
        <w:t xml:space="preserve">below the 2024 baseline, </w:t>
      </w:r>
      <w:r w:rsidR="006227AD" w:rsidRPr="00266720">
        <w:rPr>
          <w:rFonts w:ascii="Aptos Serif" w:hAnsi="Aptos Serif" w:cs="Aptos Serif"/>
        </w:rPr>
        <w:t xml:space="preserve">indicating that businesses may have worked their way through the Q1 2025 stockpiles and that we may see </w:t>
      </w:r>
      <w:r w:rsidR="0078235E" w:rsidRPr="00266720">
        <w:rPr>
          <w:rFonts w:ascii="Aptos Serif" w:hAnsi="Aptos Serif" w:cs="Aptos Serif"/>
        </w:rPr>
        <w:t>more pronounced price effects going forward.</w:t>
      </w:r>
      <w:r w:rsidR="00F64377" w:rsidRPr="00266720">
        <w:rPr>
          <w:rStyle w:val="FootnoteReference"/>
          <w:rFonts w:ascii="Aptos Serif" w:hAnsi="Aptos Serif" w:cs="Aptos Serif"/>
        </w:rPr>
        <w:footnoteReference w:id="5"/>
      </w:r>
    </w:p>
    <w:p w14:paraId="22BD5B4F" w14:textId="15042AA3" w:rsidR="00EF28E5" w:rsidRPr="00266720" w:rsidRDefault="00880135" w:rsidP="00F64377">
      <w:pPr>
        <w:spacing w:after="0" w:line="240" w:lineRule="auto"/>
        <w:rPr>
          <w:rFonts w:ascii="Aptos Serif" w:hAnsi="Aptos Serif" w:cs="Aptos Serif"/>
        </w:rPr>
      </w:pPr>
      <w:r w:rsidRPr="00266720">
        <w:rPr>
          <w:rFonts w:ascii="Aptos Serif" w:hAnsi="Aptos Serif" w:cs="Aptos Serif"/>
        </w:rPr>
        <w:t xml:space="preserve">Tariffs imposed by the Trump administration in 2025 have driven significant inward investment in the U.S., known as tariff-jumping </w:t>
      </w:r>
      <w:r w:rsidR="00615586" w:rsidRPr="00266720">
        <w:rPr>
          <w:rFonts w:ascii="Aptos Serif" w:hAnsi="Aptos Serif" w:cs="Aptos Serif"/>
        </w:rPr>
        <w:t>foreign direct investment (</w:t>
      </w:r>
      <w:r w:rsidRPr="00266720">
        <w:rPr>
          <w:rFonts w:ascii="Aptos Serif" w:hAnsi="Aptos Serif" w:cs="Aptos Serif"/>
        </w:rPr>
        <w:t>FDI</w:t>
      </w:r>
      <w:r w:rsidR="00615586" w:rsidRPr="00266720">
        <w:rPr>
          <w:rFonts w:ascii="Aptos Serif" w:hAnsi="Aptos Serif" w:cs="Aptos Serif"/>
        </w:rPr>
        <w:t>)</w:t>
      </w:r>
      <w:r w:rsidRPr="00266720">
        <w:rPr>
          <w:rFonts w:ascii="Aptos Serif" w:hAnsi="Aptos Serif" w:cs="Aptos Serif"/>
        </w:rPr>
        <w:t>, as global corporations began to restructure supply chains and relocate or expand operations in the U.S. to avoid elevated tariffs. Based on an MEDC analysis of FDI Markets data, announced investments by FDI projects totaled $327.</w:t>
      </w:r>
      <w:r w:rsidR="00F64377" w:rsidRPr="00266720">
        <w:rPr>
          <w:rFonts w:ascii="Aptos Serif" w:hAnsi="Aptos Serif" w:cs="Aptos Serif"/>
        </w:rPr>
        <w:t xml:space="preserve">4 billion </w:t>
      </w:r>
      <w:r w:rsidRPr="00266720">
        <w:rPr>
          <w:rFonts w:ascii="Aptos Serif" w:hAnsi="Aptos Serif" w:cs="Aptos Serif"/>
        </w:rPr>
        <w:t>in 2025, a 30% increase from 2024 ($250.9</w:t>
      </w:r>
      <w:r w:rsidR="00F64377" w:rsidRPr="00266720">
        <w:rPr>
          <w:rFonts w:ascii="Aptos Serif" w:hAnsi="Aptos Serif" w:cs="Aptos Serif"/>
        </w:rPr>
        <w:t xml:space="preserve"> billion</w:t>
      </w:r>
      <w:r w:rsidRPr="00266720">
        <w:rPr>
          <w:rFonts w:ascii="Aptos Serif" w:hAnsi="Aptos Serif" w:cs="Aptos Serif"/>
        </w:rPr>
        <w:t xml:space="preserve">). Average capital expenditure (capex) for projects is 46% higher than 2024, as more foreign investment poured into capital-intensive manufacturing sectors. </w:t>
      </w:r>
    </w:p>
    <w:p w14:paraId="4EB861BD" w14:textId="77777777" w:rsidR="00F64377" w:rsidRPr="00266720" w:rsidRDefault="00F64377" w:rsidP="00F64377">
      <w:pPr>
        <w:spacing w:after="0" w:line="240" w:lineRule="auto"/>
        <w:ind w:left="-90"/>
        <w:rPr>
          <w:rFonts w:ascii="Aptos Serif" w:hAnsi="Aptos Serif" w:cs="Aptos Serif"/>
        </w:rPr>
      </w:pPr>
    </w:p>
    <w:p w14:paraId="16EC3B1D" w14:textId="389429C4" w:rsidR="00EF28E5" w:rsidRPr="00266720" w:rsidRDefault="00EF28E5" w:rsidP="00F64377">
      <w:pPr>
        <w:spacing w:after="0" w:line="240" w:lineRule="auto"/>
        <w:rPr>
          <w:rFonts w:ascii="Aptos Serif" w:hAnsi="Aptos Serif" w:cs="Aptos Serif"/>
        </w:rPr>
      </w:pPr>
      <w:r w:rsidRPr="00266720">
        <w:rPr>
          <w:rFonts w:ascii="Aptos Serif" w:hAnsi="Aptos Serif" w:cs="Aptos Serif"/>
        </w:rPr>
        <w:t xml:space="preserve">Below is a summary of business sectors </w:t>
      </w:r>
      <w:r w:rsidR="009546D9" w:rsidRPr="00266720">
        <w:rPr>
          <w:rFonts w:ascii="Aptos Serif" w:hAnsi="Aptos Serif" w:cs="Aptos Serif"/>
        </w:rPr>
        <w:t xml:space="preserve">in the U.S. </w:t>
      </w:r>
      <w:r w:rsidRPr="00266720">
        <w:rPr>
          <w:rFonts w:ascii="Aptos Serif" w:hAnsi="Aptos Serif" w:cs="Aptos Serif"/>
        </w:rPr>
        <w:t>seeing the most impact on FDI due to tariff increases:</w:t>
      </w:r>
    </w:p>
    <w:p w14:paraId="68710153" w14:textId="1B410B47" w:rsidR="00EF28E5" w:rsidRPr="00266720" w:rsidRDefault="00EF28E5" w:rsidP="00F64377">
      <w:pPr>
        <w:pStyle w:val="ListParagraph"/>
        <w:numPr>
          <w:ilvl w:val="0"/>
          <w:numId w:val="3"/>
        </w:numPr>
        <w:spacing w:after="0" w:line="240" w:lineRule="auto"/>
        <w:ind w:left="936"/>
        <w:rPr>
          <w:rFonts w:ascii="Aptos Serif" w:hAnsi="Aptos Serif" w:cs="Aptos Serif"/>
        </w:rPr>
      </w:pPr>
      <w:bookmarkStart w:id="1" w:name="_Ref230100272"/>
      <w:r w:rsidRPr="00266720">
        <w:rPr>
          <w:rFonts w:ascii="Aptos Serif" w:hAnsi="Aptos Serif" w:cs="Aptos Serif"/>
        </w:rPr>
        <w:t>Consumer electronics: FDI in this sector jumped to $1.3</w:t>
      </w:r>
      <w:r w:rsidR="009B5C7C" w:rsidRPr="00266720">
        <w:rPr>
          <w:rFonts w:ascii="Aptos Serif" w:hAnsi="Aptos Serif" w:cs="Aptos Serif"/>
        </w:rPr>
        <w:t xml:space="preserve"> billion</w:t>
      </w:r>
      <w:r w:rsidRPr="00266720">
        <w:rPr>
          <w:rFonts w:ascii="Aptos Serif" w:hAnsi="Aptos Serif" w:cs="Aptos Serif"/>
        </w:rPr>
        <w:t xml:space="preserve"> in 2025 from $155</w:t>
      </w:r>
      <w:r w:rsidR="009B5C7C" w:rsidRPr="00266720">
        <w:rPr>
          <w:rFonts w:ascii="Aptos Serif" w:hAnsi="Aptos Serif" w:cs="Aptos Serif"/>
        </w:rPr>
        <w:t xml:space="preserve"> million </w:t>
      </w:r>
      <w:r w:rsidRPr="00266720">
        <w:rPr>
          <w:rFonts w:ascii="Aptos Serif" w:hAnsi="Aptos Serif" w:cs="Aptos Serif"/>
        </w:rPr>
        <w:t xml:space="preserve">in 2024, increasing more than 700%. The number of jobs created </w:t>
      </w:r>
      <w:r w:rsidRPr="00266720">
        <w:rPr>
          <w:rFonts w:ascii="Aptos Serif" w:hAnsi="Aptos Serif" w:cs="Aptos Serif"/>
        </w:rPr>
        <w:lastRenderedPageBreak/>
        <w:t xml:space="preserve">by FDI projects is expected to be over 2,900 in 2025 compared to 680 jobs in 2024. Notable FDI projects include GE Appliances, a subsidiary of a Chinese multinational home appliances company, </w:t>
      </w:r>
      <w:r w:rsidR="001A7E5F" w:rsidRPr="00266720">
        <w:rPr>
          <w:rFonts w:ascii="Aptos Serif" w:hAnsi="Aptos Serif" w:cs="Aptos Serif"/>
        </w:rPr>
        <w:t xml:space="preserve">which </w:t>
      </w:r>
      <w:r w:rsidRPr="00266720">
        <w:rPr>
          <w:rFonts w:ascii="Aptos Serif" w:hAnsi="Aptos Serif" w:cs="Aptos Serif"/>
        </w:rPr>
        <w:t xml:space="preserve">has announced </w:t>
      </w:r>
      <w:r w:rsidR="001A7E5F" w:rsidRPr="00266720">
        <w:rPr>
          <w:rFonts w:ascii="Aptos Serif" w:hAnsi="Aptos Serif" w:cs="Aptos Serif"/>
        </w:rPr>
        <w:t>a plan to</w:t>
      </w:r>
      <w:r w:rsidRPr="00266720">
        <w:rPr>
          <w:rFonts w:ascii="Aptos Serif" w:hAnsi="Aptos Serif" w:cs="Aptos Serif"/>
        </w:rPr>
        <w:t xml:space="preserve"> invest $690</w:t>
      </w:r>
      <w:r w:rsidR="009B5C7C" w:rsidRPr="00266720">
        <w:rPr>
          <w:rFonts w:ascii="Aptos Serif" w:hAnsi="Aptos Serif" w:cs="Aptos Serif"/>
        </w:rPr>
        <w:t xml:space="preserve"> billion</w:t>
      </w:r>
      <w:r w:rsidR="001A7E5F" w:rsidRPr="00266720">
        <w:rPr>
          <w:rFonts w:ascii="Aptos Serif" w:hAnsi="Aptos Serif" w:cs="Aptos Serif"/>
        </w:rPr>
        <w:t>,</w:t>
      </w:r>
      <w:r w:rsidRPr="00266720">
        <w:rPr>
          <w:rFonts w:ascii="Aptos Serif" w:hAnsi="Aptos Serif" w:cs="Aptos Serif"/>
        </w:rPr>
        <w:t xml:space="preserve"> creating over 1,400 jobs</w:t>
      </w:r>
      <w:r w:rsidR="001A7E5F" w:rsidRPr="00266720">
        <w:rPr>
          <w:rFonts w:ascii="Aptos Serif" w:hAnsi="Aptos Serif" w:cs="Aptos Serif"/>
        </w:rPr>
        <w:t>,</w:t>
      </w:r>
      <w:r w:rsidRPr="00266720">
        <w:rPr>
          <w:rFonts w:ascii="Aptos Serif" w:hAnsi="Aptos Serif" w:cs="Aptos Serif"/>
        </w:rPr>
        <w:t xml:space="preserve"> to expand its manufacturing capabilities in Kentucky, which is</w:t>
      </w:r>
      <w:r w:rsidR="00CD5F58" w:rsidRPr="00266720">
        <w:rPr>
          <w:rFonts w:ascii="Aptos Serif" w:hAnsi="Aptos Serif" w:cs="Aptos Serif"/>
        </w:rPr>
        <w:t>, in turn,</w:t>
      </w:r>
      <w:r w:rsidRPr="00266720">
        <w:rPr>
          <w:rFonts w:ascii="Aptos Serif" w:hAnsi="Aptos Serif" w:cs="Aptos Serif"/>
        </w:rPr>
        <w:t xml:space="preserve"> part of a larger, $3</w:t>
      </w:r>
      <w:r w:rsidR="009B5C7C" w:rsidRPr="00266720">
        <w:rPr>
          <w:rFonts w:ascii="Aptos Serif" w:hAnsi="Aptos Serif" w:cs="Aptos Serif"/>
        </w:rPr>
        <w:t xml:space="preserve"> billion</w:t>
      </w:r>
      <w:r w:rsidRPr="00266720">
        <w:rPr>
          <w:rFonts w:ascii="Aptos Serif" w:hAnsi="Aptos Serif" w:cs="Aptos Serif"/>
        </w:rPr>
        <w:t xml:space="preserve"> commitment to expand U</w:t>
      </w:r>
      <w:r w:rsidR="009B5C7C" w:rsidRPr="00266720">
        <w:rPr>
          <w:rFonts w:ascii="Aptos Serif" w:hAnsi="Aptos Serif" w:cs="Aptos Serif"/>
        </w:rPr>
        <w:t>.</w:t>
      </w:r>
      <w:r w:rsidRPr="00266720">
        <w:rPr>
          <w:rFonts w:ascii="Aptos Serif" w:hAnsi="Aptos Serif" w:cs="Aptos Serif"/>
        </w:rPr>
        <w:t>S</w:t>
      </w:r>
      <w:r w:rsidR="009B5C7C" w:rsidRPr="00266720">
        <w:rPr>
          <w:rFonts w:ascii="Aptos Serif" w:hAnsi="Aptos Serif" w:cs="Aptos Serif"/>
        </w:rPr>
        <w:t>.</w:t>
      </w:r>
      <w:r w:rsidRPr="00266720">
        <w:rPr>
          <w:rFonts w:ascii="Aptos Serif" w:hAnsi="Aptos Serif" w:cs="Aptos Serif"/>
        </w:rPr>
        <w:t xml:space="preserve"> manufacturing.</w:t>
      </w:r>
      <w:bookmarkEnd w:id="1"/>
      <w:r w:rsidRPr="00266720">
        <w:rPr>
          <w:rFonts w:ascii="Aptos Serif" w:hAnsi="Aptos Serif" w:cs="Aptos Serif"/>
        </w:rPr>
        <w:t xml:space="preserve">      </w:t>
      </w:r>
    </w:p>
    <w:p w14:paraId="524CAA96" w14:textId="32FDB749" w:rsidR="00EF28E5" w:rsidRPr="00266720" w:rsidRDefault="00EF28E5" w:rsidP="00F64377">
      <w:pPr>
        <w:pStyle w:val="ListParagraph"/>
        <w:numPr>
          <w:ilvl w:val="0"/>
          <w:numId w:val="3"/>
        </w:numPr>
        <w:spacing w:after="0" w:line="240" w:lineRule="auto"/>
        <w:ind w:left="936"/>
        <w:rPr>
          <w:rFonts w:ascii="Aptos Serif" w:hAnsi="Aptos Serif" w:cs="Aptos Serif"/>
        </w:rPr>
      </w:pPr>
      <w:r w:rsidRPr="00266720">
        <w:rPr>
          <w:rFonts w:ascii="Aptos Serif" w:hAnsi="Aptos Serif" w:cs="Aptos Serif"/>
        </w:rPr>
        <w:t>Metals: FDI in this sector totaled $19.3</w:t>
      </w:r>
      <w:r w:rsidR="007618AA" w:rsidRPr="00266720">
        <w:rPr>
          <w:rFonts w:ascii="Aptos Serif" w:hAnsi="Aptos Serif" w:cs="Aptos Serif"/>
        </w:rPr>
        <w:t xml:space="preserve"> billion</w:t>
      </w:r>
      <w:r w:rsidRPr="00266720">
        <w:rPr>
          <w:rFonts w:ascii="Aptos Serif" w:hAnsi="Aptos Serif" w:cs="Aptos Serif"/>
        </w:rPr>
        <w:t xml:space="preserve"> in 2025, a 320% increase from 2024. The number of FDI jobs is expected to be over 10,700 in 2025 compared to 6,500 jobs in 2024. A 50% tariff rate imposed on imported aluminum and steels has prompted “tariff-jumping” FDI in this sector. Notable FDI projects include Korea Zinc ($6.6</w:t>
      </w:r>
      <w:r w:rsidR="007618AA" w:rsidRPr="00266720">
        <w:rPr>
          <w:rFonts w:ascii="Aptos Serif" w:hAnsi="Aptos Serif" w:cs="Aptos Serif"/>
        </w:rPr>
        <w:t xml:space="preserve"> billion</w:t>
      </w:r>
      <w:r w:rsidRPr="00266720">
        <w:rPr>
          <w:rFonts w:ascii="Aptos Serif" w:hAnsi="Aptos Serif" w:cs="Aptos Serif"/>
        </w:rPr>
        <w:t>, 3,320 jobs), Hyundai Steel ($5.8</w:t>
      </w:r>
      <w:r w:rsidR="007618AA" w:rsidRPr="00266720">
        <w:rPr>
          <w:rFonts w:ascii="Aptos Serif" w:hAnsi="Aptos Serif" w:cs="Aptos Serif"/>
        </w:rPr>
        <w:t xml:space="preserve"> billion</w:t>
      </w:r>
      <w:r w:rsidRPr="00266720">
        <w:rPr>
          <w:rFonts w:ascii="Aptos Serif" w:hAnsi="Aptos Serif" w:cs="Aptos Serif"/>
        </w:rPr>
        <w:t xml:space="preserve">, 1,300 jobs), and Emirates Global </w:t>
      </w:r>
      <w:r w:rsidR="009B5C7C" w:rsidRPr="00266720">
        <w:rPr>
          <w:rFonts w:ascii="Aptos Serif" w:hAnsi="Aptos Serif" w:cs="Aptos Serif"/>
        </w:rPr>
        <w:t>Aluminum</w:t>
      </w:r>
      <w:r w:rsidRPr="00266720">
        <w:rPr>
          <w:rFonts w:ascii="Aptos Serif" w:hAnsi="Aptos Serif" w:cs="Aptos Serif"/>
        </w:rPr>
        <w:t xml:space="preserve"> ($4</w:t>
      </w:r>
      <w:r w:rsidR="007618AA" w:rsidRPr="00266720">
        <w:rPr>
          <w:rFonts w:ascii="Aptos Serif" w:hAnsi="Aptos Serif" w:cs="Aptos Serif"/>
        </w:rPr>
        <w:t xml:space="preserve"> billion</w:t>
      </w:r>
      <w:r w:rsidRPr="00266720">
        <w:rPr>
          <w:rFonts w:ascii="Aptos Serif" w:hAnsi="Aptos Serif" w:cs="Aptos Serif"/>
        </w:rPr>
        <w:t xml:space="preserve">, 1,000 jobs). </w:t>
      </w:r>
    </w:p>
    <w:p w14:paraId="4AB52AE4" w14:textId="1824BD4D" w:rsidR="00224365" w:rsidRPr="00266720" w:rsidRDefault="00EF28E5" w:rsidP="005661A9">
      <w:pPr>
        <w:pStyle w:val="ListParagraph"/>
        <w:numPr>
          <w:ilvl w:val="0"/>
          <w:numId w:val="3"/>
        </w:numPr>
        <w:spacing w:after="0" w:line="240" w:lineRule="auto"/>
        <w:ind w:left="936"/>
        <w:rPr>
          <w:rFonts w:ascii="Aptos Serif" w:hAnsi="Aptos Serif" w:cs="Aptos Serif"/>
        </w:rPr>
      </w:pPr>
      <w:r w:rsidRPr="00266720">
        <w:rPr>
          <w:rFonts w:ascii="Aptos Serif" w:hAnsi="Aptos Serif" w:cs="Aptos Serif"/>
        </w:rPr>
        <w:t>Pharmaceuticals: FDI in this sector in 2025 is characterized by a moderate growth in capex and a significant growth in number of projects and jobs created. The sector has experienced a 10% increase in capex from $7.2</w:t>
      </w:r>
      <w:r w:rsidR="007618AA" w:rsidRPr="00266720">
        <w:rPr>
          <w:rFonts w:ascii="Aptos Serif" w:hAnsi="Aptos Serif" w:cs="Aptos Serif"/>
        </w:rPr>
        <w:t xml:space="preserve"> billion</w:t>
      </w:r>
      <w:r w:rsidRPr="00266720">
        <w:rPr>
          <w:rFonts w:ascii="Aptos Serif" w:hAnsi="Aptos Serif" w:cs="Aptos Serif"/>
        </w:rPr>
        <w:t xml:space="preserve"> in 2024 to $7.9</w:t>
      </w:r>
      <w:r w:rsidR="007618AA" w:rsidRPr="00266720">
        <w:rPr>
          <w:rFonts w:ascii="Aptos Serif" w:hAnsi="Aptos Serif" w:cs="Aptos Serif"/>
        </w:rPr>
        <w:t xml:space="preserve"> billion</w:t>
      </w:r>
      <w:r w:rsidRPr="00266720">
        <w:rPr>
          <w:rFonts w:ascii="Aptos Serif" w:hAnsi="Aptos Serif" w:cs="Aptos Serif"/>
        </w:rPr>
        <w:t xml:space="preserve"> in 2025 while seeing an increase of 136% in number of projects and 170% in jobs between 2024 and 2025. Notable projects include Novartis (Switzerland)</w:t>
      </w:r>
      <w:r w:rsidR="00CD5F58" w:rsidRPr="00266720">
        <w:rPr>
          <w:rFonts w:ascii="Aptos Serif" w:hAnsi="Aptos Serif" w:cs="Aptos Serif"/>
        </w:rPr>
        <w:t>, which</w:t>
      </w:r>
      <w:r w:rsidRPr="00266720">
        <w:rPr>
          <w:rFonts w:ascii="Aptos Serif" w:hAnsi="Aptos Serif" w:cs="Aptos Serif"/>
        </w:rPr>
        <w:t xml:space="preserve"> plans to invest over $1.6</w:t>
      </w:r>
      <w:r w:rsidR="00CD5F58" w:rsidRPr="00266720">
        <w:rPr>
          <w:rFonts w:ascii="Aptos Serif" w:hAnsi="Aptos Serif" w:cs="Aptos Serif"/>
        </w:rPr>
        <w:t xml:space="preserve"> billion,</w:t>
      </w:r>
      <w:r w:rsidRPr="00266720">
        <w:rPr>
          <w:rFonts w:ascii="Aptos Serif" w:hAnsi="Aptos Serif" w:cs="Aptos Serif"/>
        </w:rPr>
        <w:t xml:space="preserve"> creating 1,600 jobs in multiple locations in the U.S. AstraZeneca (U.K) plans to invest $1.1</w:t>
      </w:r>
      <w:r w:rsidR="00CD5F58" w:rsidRPr="00266720">
        <w:rPr>
          <w:rFonts w:ascii="Aptos Serif" w:hAnsi="Aptos Serif" w:cs="Aptos Serif"/>
        </w:rPr>
        <w:t xml:space="preserve"> billion</w:t>
      </w:r>
      <w:r w:rsidRPr="00266720">
        <w:rPr>
          <w:rFonts w:ascii="Aptos Serif" w:hAnsi="Aptos Serif" w:cs="Aptos Serif"/>
        </w:rPr>
        <w:t xml:space="preserve"> with 1,200 jobs in multiple locations across the country. Hikma Pharmaceuticals (U.K.) plans to invest $1</w:t>
      </w:r>
      <w:r w:rsidR="00CD5F58" w:rsidRPr="00266720">
        <w:rPr>
          <w:rFonts w:ascii="Aptos Serif" w:hAnsi="Aptos Serif" w:cs="Aptos Serif"/>
        </w:rPr>
        <w:t xml:space="preserve"> billion,</w:t>
      </w:r>
      <w:r w:rsidRPr="00266720">
        <w:rPr>
          <w:rFonts w:ascii="Aptos Serif" w:hAnsi="Aptos Serif" w:cs="Aptos Serif"/>
        </w:rPr>
        <w:t xml:space="preserve"> creating 1,100 jobs</w:t>
      </w:r>
      <w:r w:rsidR="00CD5F58" w:rsidRPr="00266720">
        <w:rPr>
          <w:rFonts w:ascii="Aptos Serif" w:hAnsi="Aptos Serif" w:cs="Aptos Serif"/>
        </w:rPr>
        <w:t>,</w:t>
      </w:r>
      <w:r w:rsidRPr="00266720">
        <w:rPr>
          <w:rFonts w:ascii="Aptos Serif" w:hAnsi="Aptos Serif" w:cs="Aptos Serif"/>
        </w:rPr>
        <w:t xml:space="preserve"> to expand its manufacturing and R&amp;D capabilities in the U.S.</w:t>
      </w:r>
    </w:p>
    <w:p w14:paraId="4BBD485C" w14:textId="2118AD18" w:rsidR="00285324" w:rsidRPr="00266720" w:rsidRDefault="00EF28E5" w:rsidP="00F64377">
      <w:pPr>
        <w:pStyle w:val="ListParagraph"/>
        <w:numPr>
          <w:ilvl w:val="0"/>
          <w:numId w:val="3"/>
        </w:numPr>
        <w:spacing w:after="0" w:line="240" w:lineRule="auto"/>
        <w:ind w:left="936"/>
        <w:rPr>
          <w:rFonts w:ascii="Aptos Serif" w:hAnsi="Aptos Serif" w:cs="Aptos Serif"/>
        </w:rPr>
      </w:pPr>
      <w:r w:rsidRPr="00266720">
        <w:rPr>
          <w:rFonts w:ascii="Aptos Serif" w:hAnsi="Aptos Serif" w:cs="Aptos Serif"/>
        </w:rPr>
        <w:t>Automotive: FDI into the U</w:t>
      </w:r>
      <w:r w:rsidR="00994F93" w:rsidRPr="00266720">
        <w:rPr>
          <w:rFonts w:ascii="Aptos Serif" w:hAnsi="Aptos Serif" w:cs="Aptos Serif"/>
        </w:rPr>
        <w:t>.</w:t>
      </w:r>
      <w:r w:rsidRPr="00266720">
        <w:rPr>
          <w:rFonts w:ascii="Aptos Serif" w:hAnsi="Aptos Serif" w:cs="Aptos Serif"/>
        </w:rPr>
        <w:t>S</w:t>
      </w:r>
      <w:r w:rsidR="00994F93" w:rsidRPr="00266720">
        <w:rPr>
          <w:rFonts w:ascii="Aptos Serif" w:hAnsi="Aptos Serif" w:cs="Aptos Serif"/>
        </w:rPr>
        <w:t>.</w:t>
      </w:r>
      <w:r w:rsidRPr="00266720">
        <w:rPr>
          <w:rFonts w:ascii="Aptos Serif" w:hAnsi="Aptos Serif" w:cs="Aptos Serif"/>
        </w:rPr>
        <w:t xml:space="preserve"> automotive industry has seen significant decrease</w:t>
      </w:r>
      <w:r w:rsidR="00994F93" w:rsidRPr="00266720">
        <w:rPr>
          <w:rFonts w:ascii="Aptos Serif" w:hAnsi="Aptos Serif" w:cs="Aptos Serif"/>
        </w:rPr>
        <w:t>s</w:t>
      </w:r>
      <w:r w:rsidRPr="00266720">
        <w:rPr>
          <w:rFonts w:ascii="Aptos Serif" w:hAnsi="Aptos Serif" w:cs="Aptos Serif"/>
        </w:rPr>
        <w:t xml:space="preserve"> in 2025 compared to the record highs of 2024, experiencing a 43% </w:t>
      </w:r>
      <w:r w:rsidR="008E0CA9" w:rsidRPr="00266720">
        <w:rPr>
          <w:rFonts w:ascii="Aptos Serif" w:hAnsi="Aptos Serif" w:cs="Aptos Serif"/>
        </w:rPr>
        <w:t xml:space="preserve">decline in automotive components capex </w:t>
      </w:r>
      <w:r w:rsidRPr="00266720">
        <w:rPr>
          <w:rFonts w:ascii="Aptos Serif" w:hAnsi="Aptos Serif" w:cs="Aptos Serif"/>
        </w:rPr>
        <w:t xml:space="preserve">and a 70% decline in automotive OEM </w:t>
      </w:r>
      <w:r w:rsidR="008E0CA9" w:rsidRPr="00266720">
        <w:rPr>
          <w:rFonts w:ascii="Aptos Serif" w:hAnsi="Aptos Serif" w:cs="Aptos Serif"/>
        </w:rPr>
        <w:t xml:space="preserve">investment </w:t>
      </w:r>
      <w:r w:rsidRPr="00266720">
        <w:rPr>
          <w:rFonts w:ascii="Aptos Serif" w:hAnsi="Aptos Serif" w:cs="Aptos Serif"/>
        </w:rPr>
        <w:t>from 2024. The decline of FDI in the automotive industry is attributed to policy uncertainty, a slowdown in the electric vehicle (EV) transition, and tariff-related supply chain disruptions.</w:t>
      </w:r>
    </w:p>
    <w:p w14:paraId="13C5683D" w14:textId="77777777" w:rsidR="00556499" w:rsidRPr="00266720" w:rsidRDefault="00556499" w:rsidP="00556499">
      <w:pPr>
        <w:spacing w:after="0" w:line="240" w:lineRule="auto"/>
        <w:rPr>
          <w:rFonts w:ascii="Aptos Serif" w:hAnsi="Aptos Serif" w:cs="Aptos Serif"/>
        </w:rPr>
      </w:pPr>
    </w:p>
    <w:p w14:paraId="2514A063" w14:textId="61303117" w:rsidR="00556499" w:rsidRPr="00266720" w:rsidRDefault="00701BAF" w:rsidP="00556499">
      <w:pPr>
        <w:spacing w:after="0" w:line="240" w:lineRule="auto"/>
        <w:rPr>
          <w:rFonts w:ascii="Aptos Serif" w:hAnsi="Aptos Serif" w:cs="Aptos Serif"/>
        </w:rPr>
      </w:pPr>
      <w:r w:rsidRPr="00266720">
        <w:rPr>
          <w:rFonts w:ascii="Aptos Serif" w:hAnsi="Aptos Serif" w:cs="Aptos Serif"/>
        </w:rPr>
        <w:t xml:space="preserve">Overall, </w:t>
      </w:r>
      <w:r w:rsidR="00F25B74" w:rsidRPr="00266720">
        <w:rPr>
          <w:rFonts w:ascii="Aptos Serif" w:hAnsi="Aptos Serif" w:cs="Aptos Serif"/>
        </w:rPr>
        <w:t xml:space="preserve">FDI totals directed toward Michigan in 2025 remained relatively unchanged from 2024, </w:t>
      </w:r>
      <w:r w:rsidR="001F3DD6" w:rsidRPr="00266720">
        <w:rPr>
          <w:rFonts w:ascii="Aptos Serif" w:hAnsi="Aptos Serif" w:cs="Aptos Serif"/>
        </w:rPr>
        <w:t xml:space="preserve">with one </w:t>
      </w:r>
      <w:r w:rsidR="00227750" w:rsidRPr="00266720">
        <w:rPr>
          <w:rFonts w:ascii="Aptos Serif" w:hAnsi="Aptos Serif" w:cs="Aptos Serif"/>
        </w:rPr>
        <w:t xml:space="preserve">2025 </w:t>
      </w:r>
      <w:r w:rsidR="000D17E7">
        <w:rPr>
          <w:rFonts w:ascii="Aptos Serif" w:hAnsi="Aptos Serif" w:cs="Aptos Serif"/>
        </w:rPr>
        <w:t xml:space="preserve">announcement </w:t>
      </w:r>
      <w:proofErr w:type="gramStart"/>
      <w:r w:rsidR="00A56178" w:rsidRPr="00266720">
        <w:rPr>
          <w:rFonts w:ascii="Aptos Serif" w:hAnsi="Aptos Serif" w:cs="Aptos Serif"/>
        </w:rPr>
        <w:t>excluded</w:t>
      </w:r>
      <w:proofErr w:type="gramEnd"/>
      <w:r w:rsidR="00227750" w:rsidRPr="00266720">
        <w:rPr>
          <w:rFonts w:ascii="Aptos Serif" w:hAnsi="Aptos Serif" w:cs="Aptos Serif"/>
        </w:rPr>
        <w:t xml:space="preserve"> as an outlier</w:t>
      </w:r>
      <w:r w:rsidR="00A56178" w:rsidRPr="00266720">
        <w:rPr>
          <w:rFonts w:ascii="Aptos Serif" w:hAnsi="Aptos Serif" w:cs="Aptos Serif"/>
        </w:rPr>
        <w:t xml:space="preserve">. </w:t>
      </w:r>
      <w:r w:rsidR="00FB1267" w:rsidRPr="00266720">
        <w:rPr>
          <w:rFonts w:ascii="Aptos Serif" w:hAnsi="Aptos Serif" w:cs="Aptos Serif"/>
        </w:rPr>
        <w:t xml:space="preserve">For sectors </w:t>
      </w:r>
      <w:r w:rsidR="000D17E7">
        <w:rPr>
          <w:rFonts w:ascii="Aptos Serif" w:hAnsi="Aptos Serif" w:cs="Aptos Serif"/>
        </w:rPr>
        <w:t>most</w:t>
      </w:r>
      <w:r w:rsidR="00FB1267" w:rsidRPr="00266720">
        <w:rPr>
          <w:rFonts w:ascii="Aptos Serif" w:hAnsi="Aptos Serif" w:cs="Aptos Serif"/>
        </w:rPr>
        <w:t xml:space="preserve"> likely to be impacted by tariff announcements, Michigan </w:t>
      </w:r>
      <w:r w:rsidR="00FF5D10" w:rsidRPr="00266720">
        <w:rPr>
          <w:rFonts w:ascii="Aptos Serif" w:hAnsi="Aptos Serif" w:cs="Aptos Serif"/>
        </w:rPr>
        <w:t>saw similar FDI trends to those observed nationally:</w:t>
      </w:r>
    </w:p>
    <w:p w14:paraId="6DB6543A" w14:textId="77777777" w:rsidR="004E5AC2" w:rsidRPr="00266720" w:rsidRDefault="004E5AC2" w:rsidP="004E5AC2">
      <w:pPr>
        <w:pStyle w:val="ListParagraph"/>
        <w:numPr>
          <w:ilvl w:val="0"/>
          <w:numId w:val="4"/>
        </w:numPr>
        <w:spacing w:after="0" w:line="240" w:lineRule="auto"/>
        <w:rPr>
          <w:rFonts w:ascii="Aptos Serif" w:hAnsi="Aptos Serif" w:cs="Aptos Serif"/>
        </w:rPr>
      </w:pPr>
      <w:r w:rsidRPr="00266720">
        <w:rPr>
          <w:rFonts w:ascii="Aptos Serif" w:hAnsi="Aptos Serif" w:cs="Aptos Serif"/>
        </w:rPr>
        <w:t>Food and Beverage: FDI in this sector surged to $836 million in 2025 from $29.9 million in 2024. The is solely due to a major expansion project announced by Mead Johnson Nutrition at its Zeeland, Michigan, facility, aimed at mitigating high import tariffs on baby formula and raw ingredients and supply chain disruptions.</w:t>
      </w:r>
    </w:p>
    <w:p w14:paraId="06CA1642" w14:textId="77777777" w:rsidR="004E5AC2" w:rsidRPr="00266720" w:rsidRDefault="004E5AC2" w:rsidP="004E5AC2">
      <w:pPr>
        <w:pStyle w:val="ListParagraph"/>
        <w:numPr>
          <w:ilvl w:val="0"/>
          <w:numId w:val="4"/>
        </w:numPr>
        <w:spacing w:after="0" w:line="240" w:lineRule="auto"/>
        <w:rPr>
          <w:rFonts w:ascii="Aptos Serif" w:hAnsi="Aptos Serif" w:cs="Aptos Serif"/>
        </w:rPr>
      </w:pPr>
      <w:r w:rsidRPr="00266720">
        <w:rPr>
          <w:rFonts w:ascii="Aptos Serif" w:hAnsi="Aptos Serif" w:cs="Aptos Serif"/>
        </w:rPr>
        <w:t xml:space="preserve">Electronic Components: FDI in this sector in Michigan jumped to $156 million in 2025 from $16.9 million in 2024, fueled by LG Energy Solution investment </w:t>
      </w:r>
      <w:r w:rsidRPr="00266720">
        <w:rPr>
          <w:rFonts w:ascii="Aptos Serif" w:hAnsi="Aptos Serif" w:cs="Aptos Serif"/>
        </w:rPr>
        <w:lastRenderedPageBreak/>
        <w:t xml:space="preserve">($151 million, 218 jobs) presumably aimed at avoiding heavy tariffs imposed on Chinese battery components. LG is shifting from EV to grid batteries amid slow growth in EV. Heavy tariffs on the energy storage sector prompted LG to localize cell production in Michigan to keep pricing competitive against imported alternatives. </w:t>
      </w:r>
    </w:p>
    <w:p w14:paraId="11C485B8" w14:textId="77777777" w:rsidR="004E5AC2" w:rsidRPr="00266720" w:rsidRDefault="004E5AC2" w:rsidP="004E5AC2">
      <w:pPr>
        <w:pStyle w:val="ListParagraph"/>
        <w:numPr>
          <w:ilvl w:val="0"/>
          <w:numId w:val="4"/>
        </w:numPr>
        <w:spacing w:after="0" w:line="240" w:lineRule="auto"/>
        <w:rPr>
          <w:rFonts w:ascii="Aptos Serif" w:hAnsi="Aptos Serif" w:cs="Aptos Serif"/>
        </w:rPr>
      </w:pPr>
      <w:r w:rsidRPr="00266720">
        <w:rPr>
          <w:rFonts w:ascii="Aptos Serif" w:hAnsi="Aptos Serif" w:cs="Aptos Serif"/>
        </w:rPr>
        <w:t xml:space="preserve">Pharmaceuticals: This sector secured $155.5 million FDI in 2025 compared to zero FDI in 2024, thanks to one major investment. Piramal Pharma Solutions announced plans to invest $155.5 million in its Riverview, Michigan, facility to establish a localized supply chain and avoid steep U.S. tariffs on certain imported branded or patented pharmaceuticals. </w:t>
      </w:r>
    </w:p>
    <w:p w14:paraId="7E23D9F7" w14:textId="1ADDE17F" w:rsidR="00FF5D10" w:rsidRPr="00266720" w:rsidRDefault="004E5AC2" w:rsidP="00556499">
      <w:pPr>
        <w:pStyle w:val="ListParagraph"/>
        <w:numPr>
          <w:ilvl w:val="0"/>
          <w:numId w:val="4"/>
        </w:numPr>
        <w:spacing w:after="0" w:line="240" w:lineRule="auto"/>
        <w:rPr>
          <w:rFonts w:ascii="Aptos Serif" w:hAnsi="Aptos Serif" w:cs="Aptos Serif"/>
        </w:rPr>
      </w:pPr>
      <w:r w:rsidRPr="00266720">
        <w:rPr>
          <w:rFonts w:ascii="Aptos Serif" w:hAnsi="Aptos Serif" w:cs="Aptos Serif"/>
        </w:rPr>
        <w:t>Automotive: FDI in Michigan’s automotive components and OEM sectors presented a mixed picture for 2025. While FDI into Michigan in the auto components sector declined by 46% in 2025 (from $1.02 billion in 2024 to $555 million in 2025</w:t>
      </w:r>
      <w:r w:rsidR="00C61F4B" w:rsidRPr="00266720">
        <w:rPr>
          <w:rFonts w:ascii="Aptos Serif" w:hAnsi="Aptos Serif" w:cs="Aptos Serif"/>
        </w:rPr>
        <w:t>), FDI announcements</w:t>
      </w:r>
      <w:r w:rsidR="00E7644E" w:rsidRPr="00266720">
        <w:rPr>
          <w:rFonts w:ascii="Aptos Serif" w:hAnsi="Aptos Serif" w:cs="Aptos Serif"/>
        </w:rPr>
        <w:t xml:space="preserve"> from automotive OEMs jumped from $11 million</w:t>
      </w:r>
      <w:r w:rsidR="00E55B8A" w:rsidRPr="00266720">
        <w:rPr>
          <w:rFonts w:ascii="Aptos Serif" w:hAnsi="Aptos Serif" w:cs="Aptos Serif"/>
        </w:rPr>
        <w:t xml:space="preserve"> in 2024</w:t>
      </w:r>
      <w:r w:rsidR="00E7644E" w:rsidRPr="00266720">
        <w:rPr>
          <w:rFonts w:ascii="Aptos Serif" w:hAnsi="Aptos Serif" w:cs="Aptos Serif"/>
        </w:rPr>
        <w:t xml:space="preserve"> to </w:t>
      </w:r>
      <w:r w:rsidRPr="00266720">
        <w:rPr>
          <w:rFonts w:ascii="Aptos Serif" w:hAnsi="Aptos Serif" w:cs="Aptos Serif"/>
        </w:rPr>
        <w:t xml:space="preserve">$100 million in 2025. Stellantis was the sole </w:t>
      </w:r>
      <w:r w:rsidR="00F40116" w:rsidRPr="00266720">
        <w:rPr>
          <w:rFonts w:ascii="Aptos Serif" w:hAnsi="Aptos Serif" w:cs="Aptos Serif"/>
        </w:rPr>
        <w:t xml:space="preserve">foreign-owned </w:t>
      </w:r>
      <w:r w:rsidR="00E55B8A" w:rsidRPr="00266720">
        <w:rPr>
          <w:rFonts w:ascii="Aptos Serif" w:hAnsi="Aptos Serif" w:cs="Aptos Serif"/>
        </w:rPr>
        <w:t xml:space="preserve">OEM </w:t>
      </w:r>
      <w:r w:rsidRPr="00266720">
        <w:rPr>
          <w:rFonts w:ascii="Aptos Serif" w:hAnsi="Aptos Serif" w:cs="Aptos Serif"/>
        </w:rPr>
        <w:t>investor in Michigan</w:t>
      </w:r>
      <w:r w:rsidR="00E55B8A" w:rsidRPr="00266720">
        <w:rPr>
          <w:rFonts w:ascii="Aptos Serif" w:hAnsi="Aptos Serif" w:cs="Aptos Serif"/>
        </w:rPr>
        <w:t xml:space="preserve"> in 2025</w:t>
      </w:r>
      <w:r w:rsidRPr="00266720">
        <w:rPr>
          <w:rFonts w:ascii="Aptos Serif" w:hAnsi="Aptos Serif" w:cs="Aptos Serif"/>
        </w:rPr>
        <w:t xml:space="preserve">, announcing plans to upgrade its facility in here as part of its $13 billion U.S. investment plan in response to the Trump administration’s 25% tariffs on imported vehicles and parts, which are heavily concentrated in Mexico and Canada.           </w:t>
      </w:r>
    </w:p>
    <w:p w14:paraId="636AE135" w14:textId="77777777" w:rsidR="00EF28E5" w:rsidRPr="00266720" w:rsidRDefault="00EF28E5" w:rsidP="002244F5">
      <w:pPr>
        <w:spacing w:after="0" w:line="240" w:lineRule="auto"/>
        <w:ind w:left="360"/>
        <w:rPr>
          <w:rFonts w:ascii="Aptos Serif" w:hAnsi="Aptos Serif" w:cs="Aptos Serif"/>
        </w:rPr>
      </w:pPr>
    </w:p>
    <w:p w14:paraId="70396F72" w14:textId="0BCD8F07" w:rsidR="005A08F2" w:rsidRPr="00266720" w:rsidRDefault="005A08F2" w:rsidP="00F64377">
      <w:pPr>
        <w:rPr>
          <w:rFonts w:ascii="Aptos Serif" w:hAnsi="Aptos Serif" w:cs="Aptos Serif"/>
          <w:b/>
          <w:bCs/>
        </w:rPr>
      </w:pPr>
      <w:r w:rsidRPr="00266720">
        <w:rPr>
          <w:rFonts w:ascii="Aptos Serif" w:hAnsi="Aptos Serif" w:cs="Aptos Serif"/>
          <w:b/>
          <w:bCs/>
        </w:rPr>
        <w:t xml:space="preserve">Some Michigan businesses report economic challenges </w:t>
      </w:r>
    </w:p>
    <w:p w14:paraId="32F487F0" w14:textId="0C190D02" w:rsidR="005A08F2" w:rsidRPr="00266720" w:rsidRDefault="00C848F5" w:rsidP="00F64377">
      <w:pPr>
        <w:rPr>
          <w:rFonts w:ascii="Aptos Serif" w:hAnsi="Aptos Serif" w:cs="Aptos Serif"/>
        </w:rPr>
      </w:pPr>
      <w:r w:rsidRPr="00266720">
        <w:rPr>
          <w:rFonts w:ascii="Aptos Serif" w:hAnsi="Aptos Serif" w:cs="Aptos Serif"/>
        </w:rPr>
        <w:t xml:space="preserve">Michigan business decision makers report challenging economic conditions and may experience negative impacts from tariff policy. Half of Michigan business decision makers surveyed </w:t>
      </w:r>
      <w:r w:rsidR="00DD22B5" w:rsidRPr="00266720">
        <w:rPr>
          <w:rFonts w:ascii="Aptos Serif" w:hAnsi="Aptos Serif" w:cs="Aptos Serif"/>
        </w:rPr>
        <w:t>believe</w:t>
      </w:r>
      <w:r w:rsidRPr="00266720">
        <w:rPr>
          <w:rFonts w:ascii="Aptos Serif" w:hAnsi="Aptos Serif" w:cs="Aptos Serif"/>
        </w:rPr>
        <w:t xml:space="preserve"> international </w:t>
      </w:r>
      <w:r w:rsidR="00AF56B4" w:rsidRPr="00266720">
        <w:rPr>
          <w:rFonts w:ascii="Aptos Serif" w:hAnsi="Aptos Serif" w:cs="Aptos Serif"/>
        </w:rPr>
        <w:t>tariffs</w:t>
      </w:r>
      <w:r w:rsidRPr="00266720">
        <w:rPr>
          <w:rFonts w:ascii="Aptos Serif" w:hAnsi="Aptos Serif" w:cs="Aptos Serif"/>
        </w:rPr>
        <w:t xml:space="preserve"> </w:t>
      </w:r>
      <w:r w:rsidR="002244F5" w:rsidRPr="00266720">
        <w:rPr>
          <w:rFonts w:ascii="Aptos Serif" w:hAnsi="Aptos Serif" w:cs="Aptos Serif"/>
        </w:rPr>
        <w:t xml:space="preserve">are </w:t>
      </w:r>
      <w:r w:rsidRPr="00266720">
        <w:rPr>
          <w:rFonts w:ascii="Aptos Serif" w:hAnsi="Aptos Serif" w:cs="Aptos Serif"/>
        </w:rPr>
        <w:t>having a negative impact on their business (53%), and report that tariffs increase customer pricing (49%). Even more business decision makers (77%) believe inflation is having a negative impact on their business</w:t>
      </w:r>
      <w:r w:rsidR="00890665" w:rsidRPr="00266720">
        <w:rPr>
          <w:rStyle w:val="FootnoteReference"/>
          <w:rFonts w:ascii="Aptos Serif" w:hAnsi="Aptos Serif" w:cs="Aptos Serif"/>
        </w:rPr>
        <w:footnoteReference w:id="6"/>
      </w:r>
      <w:r w:rsidRPr="00266720">
        <w:rPr>
          <w:rFonts w:ascii="Aptos Serif" w:hAnsi="Aptos Serif" w:cs="Aptos Serif"/>
        </w:rPr>
        <w:t>.</w:t>
      </w:r>
      <w:r w:rsidR="00DD22B5" w:rsidRPr="00266720">
        <w:rPr>
          <w:rFonts w:ascii="Aptos Serif" w:hAnsi="Aptos Serif" w:cs="Aptos Serif"/>
        </w:rPr>
        <w:t xml:space="preserve"> </w:t>
      </w:r>
    </w:p>
    <w:p w14:paraId="3C0D29E1" w14:textId="67F4BC9B" w:rsidR="003825B7" w:rsidRPr="00266720" w:rsidRDefault="00DD22B5" w:rsidP="00F64377">
      <w:pPr>
        <w:rPr>
          <w:rFonts w:ascii="Aptos Serif" w:hAnsi="Aptos Serif" w:cs="Aptos Serif"/>
        </w:rPr>
      </w:pPr>
      <w:r w:rsidRPr="00266720">
        <w:rPr>
          <w:rFonts w:ascii="Aptos Serif" w:hAnsi="Aptos Serif" w:cs="Aptos Serif"/>
        </w:rPr>
        <w:t xml:space="preserve">These perceptions </w:t>
      </w:r>
      <w:r w:rsidR="00E43530" w:rsidRPr="00266720">
        <w:rPr>
          <w:rFonts w:ascii="Aptos Serif" w:hAnsi="Aptos Serif" w:cs="Aptos Serif"/>
        </w:rPr>
        <w:t xml:space="preserve">may </w:t>
      </w:r>
      <w:r w:rsidR="006A5C19" w:rsidRPr="00266720">
        <w:rPr>
          <w:rFonts w:ascii="Aptos Serif" w:hAnsi="Aptos Serif" w:cs="Aptos Serif"/>
        </w:rPr>
        <w:t>carry over</w:t>
      </w:r>
      <w:r w:rsidRPr="00266720">
        <w:rPr>
          <w:rFonts w:ascii="Aptos Serif" w:hAnsi="Aptos Serif" w:cs="Aptos Serif"/>
        </w:rPr>
        <w:t xml:space="preserve"> </w:t>
      </w:r>
      <w:r w:rsidR="006B72F3" w:rsidRPr="00266720">
        <w:rPr>
          <w:rFonts w:ascii="Aptos Serif" w:hAnsi="Aptos Serif" w:cs="Aptos Serif"/>
        </w:rPr>
        <w:t>into the decisions business leaders make about future investments</w:t>
      </w:r>
      <w:r w:rsidR="001320E0" w:rsidRPr="00266720">
        <w:rPr>
          <w:rFonts w:ascii="Aptos Serif" w:hAnsi="Aptos Serif" w:cs="Aptos Serif"/>
        </w:rPr>
        <w:t xml:space="preserve"> – such as business expansion or relocation within Michigan</w:t>
      </w:r>
      <w:r w:rsidR="006B72F3" w:rsidRPr="00266720">
        <w:rPr>
          <w:rFonts w:ascii="Aptos Serif" w:hAnsi="Aptos Serif" w:cs="Aptos Serif"/>
        </w:rPr>
        <w:t xml:space="preserve">. </w:t>
      </w:r>
      <w:r w:rsidR="00281B2A" w:rsidRPr="00266720">
        <w:rPr>
          <w:rFonts w:ascii="Aptos Serif" w:hAnsi="Aptos Serif" w:cs="Aptos Serif"/>
        </w:rPr>
        <w:t>T</w:t>
      </w:r>
      <w:r w:rsidR="00E25145" w:rsidRPr="00266720">
        <w:rPr>
          <w:rFonts w:ascii="Aptos Serif" w:hAnsi="Aptos Serif" w:cs="Aptos Serif"/>
        </w:rPr>
        <w:t xml:space="preserve">he MEDC business development pipeline </w:t>
      </w:r>
      <w:r w:rsidR="00FD54A2" w:rsidRPr="00266720">
        <w:rPr>
          <w:rFonts w:ascii="Aptos Serif" w:hAnsi="Aptos Serif" w:cs="Aptos Serif"/>
        </w:rPr>
        <w:t xml:space="preserve">is seeing impacts from tariffs in both </w:t>
      </w:r>
      <w:r w:rsidR="00281B2A" w:rsidRPr="00266720">
        <w:rPr>
          <w:rFonts w:ascii="Aptos Serif" w:hAnsi="Aptos Serif" w:cs="Aptos Serif"/>
        </w:rPr>
        <w:t>positive and negative</w:t>
      </w:r>
      <w:r w:rsidR="002244F5" w:rsidRPr="00266720">
        <w:rPr>
          <w:rFonts w:ascii="Aptos Serif" w:hAnsi="Aptos Serif" w:cs="Aptos Serif"/>
        </w:rPr>
        <w:t xml:space="preserve"> </w:t>
      </w:r>
      <w:r w:rsidR="00FD54A2" w:rsidRPr="00266720">
        <w:rPr>
          <w:rFonts w:ascii="Aptos Serif" w:hAnsi="Aptos Serif" w:cs="Aptos Serif"/>
        </w:rPr>
        <w:t>directions. First</w:t>
      </w:r>
      <w:r w:rsidR="00764010" w:rsidRPr="00266720">
        <w:rPr>
          <w:rFonts w:ascii="Aptos Serif" w:hAnsi="Aptos Serif" w:cs="Aptos Serif"/>
        </w:rPr>
        <w:t xml:space="preserve">, MEDC business development staff </w:t>
      </w:r>
      <w:proofErr w:type="gramStart"/>
      <w:r w:rsidR="00281B2A" w:rsidRPr="00266720">
        <w:rPr>
          <w:rFonts w:ascii="Aptos Serif" w:hAnsi="Aptos Serif" w:cs="Aptos Serif"/>
        </w:rPr>
        <w:t>report</w:t>
      </w:r>
      <w:proofErr w:type="gramEnd"/>
      <w:r w:rsidR="00281B2A" w:rsidRPr="00266720">
        <w:rPr>
          <w:rFonts w:ascii="Aptos Serif" w:hAnsi="Aptos Serif" w:cs="Aptos Serif"/>
        </w:rPr>
        <w:t xml:space="preserve"> customer concerns </w:t>
      </w:r>
      <w:r w:rsidR="00AF56B4" w:rsidRPr="00266720">
        <w:rPr>
          <w:rFonts w:ascii="Aptos Serif" w:hAnsi="Aptos Serif" w:cs="Aptos Serif"/>
        </w:rPr>
        <w:t>about</w:t>
      </w:r>
      <w:r w:rsidR="00281B2A" w:rsidRPr="00266720">
        <w:rPr>
          <w:rFonts w:ascii="Aptos Serif" w:hAnsi="Aptos Serif" w:cs="Aptos Serif"/>
        </w:rPr>
        <w:t xml:space="preserve"> changing policies and </w:t>
      </w:r>
      <w:r w:rsidR="00764010" w:rsidRPr="00266720">
        <w:rPr>
          <w:rFonts w:ascii="Aptos Serif" w:hAnsi="Aptos Serif" w:cs="Aptos Serif"/>
        </w:rPr>
        <w:t>uncertainty</w:t>
      </w:r>
      <w:r w:rsidR="00281B2A" w:rsidRPr="00266720">
        <w:rPr>
          <w:rFonts w:ascii="Aptos Serif" w:hAnsi="Aptos Serif" w:cs="Aptos Serif"/>
        </w:rPr>
        <w:t>. Some customers have asserted this uncertainty slows projects and may result in deferred investment</w:t>
      </w:r>
      <w:r w:rsidR="00764010" w:rsidRPr="00266720">
        <w:rPr>
          <w:rFonts w:ascii="Aptos Serif" w:hAnsi="Aptos Serif" w:cs="Aptos Serif"/>
        </w:rPr>
        <w:t>. On the other hand,</w:t>
      </w:r>
      <w:r w:rsidR="00B91E99" w:rsidRPr="00266720">
        <w:rPr>
          <w:rFonts w:ascii="Aptos Serif" w:hAnsi="Aptos Serif" w:cs="Aptos Serif"/>
        </w:rPr>
        <w:t xml:space="preserve"> </w:t>
      </w:r>
      <w:r w:rsidR="00B91E99" w:rsidRPr="00266720">
        <w:rPr>
          <w:rFonts w:ascii="Aptos Serif" w:hAnsi="Aptos Serif" w:cs="Aptos Serif"/>
        </w:rPr>
        <w:lastRenderedPageBreak/>
        <w:t xml:space="preserve">higher tariff costs </w:t>
      </w:r>
      <w:r w:rsidR="00281B2A" w:rsidRPr="00266720">
        <w:rPr>
          <w:rFonts w:ascii="Aptos Serif" w:hAnsi="Aptos Serif" w:cs="Aptos Serif"/>
        </w:rPr>
        <w:t>may</w:t>
      </w:r>
      <w:r w:rsidR="00B91E99" w:rsidRPr="00266720">
        <w:rPr>
          <w:rFonts w:ascii="Aptos Serif" w:hAnsi="Aptos Serif" w:cs="Aptos Serif"/>
        </w:rPr>
        <w:t xml:space="preserve"> offer more opportunity for “reshored” manufacturing projects</w:t>
      </w:r>
      <w:r w:rsidR="00FE74D2" w:rsidRPr="00266720">
        <w:rPr>
          <w:rFonts w:ascii="Aptos Serif" w:hAnsi="Aptos Serif" w:cs="Aptos Serif"/>
        </w:rPr>
        <w:t xml:space="preserve"> to locate in Michigan</w:t>
      </w:r>
      <w:r w:rsidR="00F64377" w:rsidRPr="00266720">
        <w:rPr>
          <w:rFonts w:ascii="Aptos Serif" w:hAnsi="Aptos Serif" w:cs="Aptos Serif"/>
        </w:rPr>
        <w:t>, but this has not yet been observed in the MEDC pipeline</w:t>
      </w:r>
      <w:r w:rsidR="00984528" w:rsidRPr="00266720">
        <w:rPr>
          <w:rFonts w:ascii="Aptos Serif" w:hAnsi="Aptos Serif" w:cs="Aptos Serif"/>
        </w:rPr>
        <w:t>.</w:t>
      </w:r>
    </w:p>
    <w:p w14:paraId="47453FF5" w14:textId="7A901F95" w:rsidR="006021B5" w:rsidRPr="00266720" w:rsidRDefault="00FA1C1A" w:rsidP="00F64377">
      <w:pPr>
        <w:rPr>
          <w:rFonts w:ascii="Aptos Serif" w:hAnsi="Aptos Serif" w:cs="Aptos Serif"/>
        </w:rPr>
      </w:pPr>
      <w:r w:rsidRPr="00266720">
        <w:rPr>
          <w:rFonts w:ascii="Aptos Serif" w:hAnsi="Aptos Serif" w:cs="Aptos Serif"/>
        </w:rPr>
        <w:t xml:space="preserve">The slowdown and reversal on project planning can be seen in analysis of the MEDC business project pipeline. </w:t>
      </w:r>
      <w:r w:rsidR="006021B5" w:rsidRPr="00266720">
        <w:rPr>
          <w:rFonts w:ascii="Aptos Serif" w:hAnsi="Aptos Serif" w:cs="Aptos Serif"/>
        </w:rPr>
        <w:t>The MEDC pipeline</w:t>
      </w:r>
      <w:r w:rsidR="00E96210" w:rsidRPr="00266720">
        <w:rPr>
          <w:rFonts w:ascii="Aptos Serif" w:hAnsi="Aptos Serif" w:cs="Aptos Serif"/>
        </w:rPr>
        <w:t xml:space="preserve"> </w:t>
      </w:r>
      <w:r w:rsidR="00652C1F" w:rsidRPr="00266720">
        <w:rPr>
          <w:rFonts w:ascii="Aptos Serif" w:hAnsi="Aptos Serif" w:cs="Aptos Serif"/>
        </w:rPr>
        <w:t xml:space="preserve">has been declining over the last several years. </w:t>
      </w:r>
      <w:r w:rsidR="00A92779" w:rsidRPr="00266720">
        <w:rPr>
          <w:rFonts w:ascii="Aptos Serif" w:hAnsi="Aptos Serif" w:cs="Aptos Serif"/>
        </w:rPr>
        <w:t xml:space="preserve">Following a post-COVID </w:t>
      </w:r>
      <w:r w:rsidR="000D17E7">
        <w:rPr>
          <w:rFonts w:ascii="Aptos Serif" w:hAnsi="Aptos Serif" w:cs="Aptos Serif"/>
        </w:rPr>
        <w:t>rebound</w:t>
      </w:r>
      <w:r w:rsidR="00A92779" w:rsidRPr="00266720">
        <w:rPr>
          <w:rFonts w:ascii="Aptos Serif" w:hAnsi="Aptos Serif" w:cs="Aptos Serif"/>
        </w:rPr>
        <w:t>, the number of new projects</w:t>
      </w:r>
      <w:r w:rsidR="00464027" w:rsidRPr="00266720">
        <w:rPr>
          <w:rFonts w:ascii="Aptos Serif" w:hAnsi="Aptos Serif" w:cs="Aptos Serif"/>
        </w:rPr>
        <w:t xml:space="preserve"> being planned declined precipitously in 2024. Whi</w:t>
      </w:r>
      <w:r w:rsidR="0091297D" w:rsidRPr="00266720">
        <w:rPr>
          <w:rFonts w:ascii="Aptos Serif" w:hAnsi="Aptos Serif" w:cs="Aptos Serif"/>
        </w:rPr>
        <w:t xml:space="preserve">le this decline began too early to attribute to tariff impacts, they likely play some role in the </w:t>
      </w:r>
      <w:r w:rsidR="003A3258" w:rsidRPr="00266720">
        <w:rPr>
          <w:rFonts w:ascii="Aptos Serif" w:hAnsi="Aptos Serif" w:cs="Aptos Serif"/>
        </w:rPr>
        <w:t>decline projected for 2026.</w:t>
      </w:r>
    </w:p>
    <w:p w14:paraId="49D86E1D" w14:textId="383B9884" w:rsidR="00652C1F" w:rsidRPr="00266720" w:rsidRDefault="00652C1F" w:rsidP="002244F5">
      <w:pPr>
        <w:ind w:left="720"/>
        <w:jc w:val="center"/>
        <w:rPr>
          <w:rFonts w:ascii="Aptos Serif" w:hAnsi="Aptos Serif" w:cs="Aptos Serif"/>
        </w:rPr>
      </w:pPr>
      <w:r w:rsidRPr="00266720">
        <w:rPr>
          <w:rFonts w:ascii="Aptos Serif" w:hAnsi="Aptos Serif" w:cs="Aptos Serif"/>
          <w:noProof/>
        </w:rPr>
        <w:drawing>
          <wp:inline distT="0" distB="0" distL="0" distR="0" wp14:anchorId="6156CD21" wp14:editId="676737D2">
            <wp:extent cx="4394445" cy="2499811"/>
            <wp:effectExtent l="0" t="0" r="0" b="0"/>
            <wp:docPr id="985783273" name="Chart 1">
              <a:extLst xmlns:a="http://schemas.openxmlformats.org/drawingml/2006/main">
                <a:ext uri="{FF2B5EF4-FFF2-40B4-BE49-F238E27FC236}">
                  <a16:creationId xmlns:a16="http://schemas.microsoft.com/office/drawing/2014/main" id="{CB2686E3-AB4E-5158-9141-1DD598594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6C06BA" w14:textId="32771C96" w:rsidR="00140DB8" w:rsidRPr="00266720" w:rsidRDefault="00A05112" w:rsidP="00F64377">
      <w:pPr>
        <w:rPr>
          <w:rFonts w:ascii="Aptos Serif" w:hAnsi="Aptos Serif" w:cs="Aptos Serif"/>
        </w:rPr>
      </w:pPr>
      <w:r w:rsidRPr="00266720">
        <w:rPr>
          <w:rFonts w:ascii="Aptos Serif" w:hAnsi="Aptos Serif" w:cs="Aptos Serif"/>
        </w:rPr>
        <w:t xml:space="preserve">Of projects dismissed from the MEDC pipeline since May 1, 2025, 14 percent </w:t>
      </w:r>
      <w:r w:rsidR="00D358DE" w:rsidRPr="00266720">
        <w:rPr>
          <w:rFonts w:ascii="Aptos Serif" w:hAnsi="Aptos Serif" w:cs="Aptos Serif"/>
        </w:rPr>
        <w:t>(6 of 43 projects) explicitly state tariff or trade impacts as a reason for abandoning the opportunity.</w:t>
      </w:r>
    </w:p>
    <w:sectPr w:rsidR="00140DB8" w:rsidRPr="00266720" w:rsidSect="00596EA4">
      <w:headerReference w:type="default" r:id="rId12"/>
      <w:footerReference w:type="default" r:id="rId13"/>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9E11F" w14:textId="77777777" w:rsidR="002B23E9" w:rsidRDefault="002B23E9" w:rsidP="001A064C">
      <w:pPr>
        <w:spacing w:after="0" w:line="240" w:lineRule="auto"/>
      </w:pPr>
      <w:r>
        <w:separator/>
      </w:r>
    </w:p>
  </w:endnote>
  <w:endnote w:type="continuationSeparator" w:id="0">
    <w:p w14:paraId="24DD0C1A" w14:textId="77777777" w:rsidR="002B23E9" w:rsidRDefault="002B23E9" w:rsidP="001A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426752"/>
      <w:docPartObj>
        <w:docPartGallery w:val="Page Numbers (Bottom of Page)"/>
        <w:docPartUnique/>
      </w:docPartObj>
    </w:sdtPr>
    <w:sdtEndPr>
      <w:rPr>
        <w:noProof/>
      </w:rPr>
    </w:sdtEndPr>
    <w:sdtContent>
      <w:p w14:paraId="1FD9D3D1" w14:textId="0DD3047A" w:rsidR="00F64377" w:rsidRDefault="00224365" w:rsidP="00224365">
        <w:pPr>
          <w:pStyle w:val="Footer"/>
          <w:jc w:val="right"/>
        </w:pPr>
        <w:r>
          <w:t xml:space="preserve">Page </w:t>
        </w:r>
        <w:r w:rsidR="00F64377">
          <w:fldChar w:fldCharType="begin"/>
        </w:r>
        <w:r w:rsidR="00F64377">
          <w:instrText xml:space="preserve"> PAGE   \* MERGEFORMAT </w:instrText>
        </w:r>
        <w:r w:rsidR="00F64377">
          <w:fldChar w:fldCharType="separate"/>
        </w:r>
        <w:r w:rsidR="00F64377">
          <w:rPr>
            <w:noProof/>
          </w:rPr>
          <w:t>2</w:t>
        </w:r>
        <w:r w:rsidR="00F64377">
          <w:rPr>
            <w:noProof/>
          </w:rPr>
          <w:fldChar w:fldCharType="end"/>
        </w:r>
      </w:p>
    </w:sdtContent>
  </w:sdt>
  <w:p w14:paraId="20127D1A" w14:textId="77777777" w:rsidR="00224365" w:rsidRDefault="00224365" w:rsidP="00224365">
    <w:pPr>
      <w:pStyle w:val="Footer"/>
    </w:pPr>
    <w:r>
      <w:rPr>
        <w:noProof/>
      </w:rPr>
      <w:drawing>
        <wp:anchor distT="0" distB="0" distL="114300" distR="114300" simplePos="0" relativeHeight="251657728" behindDoc="1" locked="0" layoutInCell="1" allowOverlap="1" wp14:anchorId="0056249E" wp14:editId="03C77088">
          <wp:simplePos x="0" y="0"/>
          <wp:positionH relativeFrom="column">
            <wp:posOffset>-152400</wp:posOffset>
          </wp:positionH>
          <wp:positionV relativeFrom="paragraph">
            <wp:posOffset>-200025</wp:posOffset>
          </wp:positionV>
          <wp:extent cx="5943600" cy="747395"/>
          <wp:effectExtent l="0" t="0" r="0" b="0"/>
          <wp:wrapNone/>
          <wp:docPr id="9" name="Picture 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47395"/>
                  </a:xfrm>
                  <a:prstGeom prst="rect">
                    <a:avLst/>
                  </a:prstGeom>
                  <a:noFill/>
                  <a:ln>
                    <a:noFill/>
                  </a:ln>
                </pic:spPr>
              </pic:pic>
            </a:graphicData>
          </a:graphic>
        </wp:anchor>
      </w:drawing>
    </w:r>
  </w:p>
  <w:p w14:paraId="53559B37" w14:textId="77777777" w:rsidR="00F64377" w:rsidRDefault="00F64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A810" w14:textId="77777777" w:rsidR="002B23E9" w:rsidRDefault="002B23E9" w:rsidP="001A064C">
      <w:pPr>
        <w:spacing w:after="0" w:line="240" w:lineRule="auto"/>
      </w:pPr>
      <w:r>
        <w:separator/>
      </w:r>
    </w:p>
  </w:footnote>
  <w:footnote w:type="continuationSeparator" w:id="0">
    <w:p w14:paraId="4024F31E" w14:textId="77777777" w:rsidR="002B23E9" w:rsidRDefault="002B23E9" w:rsidP="001A064C">
      <w:pPr>
        <w:spacing w:after="0" w:line="240" w:lineRule="auto"/>
      </w:pPr>
      <w:r>
        <w:continuationSeparator/>
      </w:r>
    </w:p>
  </w:footnote>
  <w:footnote w:id="1">
    <w:p w14:paraId="0EAE0D2F" w14:textId="77777777" w:rsidR="00C60AA1" w:rsidRDefault="00C60AA1" w:rsidP="00C60AA1">
      <w:pPr>
        <w:pStyle w:val="FootnoteText"/>
      </w:pPr>
      <w:r>
        <w:rPr>
          <w:rStyle w:val="FootnoteReference"/>
        </w:rPr>
        <w:footnoteRef/>
      </w:r>
      <w:r>
        <w:t xml:space="preserve"> Cushman &amp; Wakefield. (April 7, 2026). </w:t>
      </w:r>
      <w:r w:rsidRPr="005A2733">
        <w:rPr>
          <w:i/>
          <w:iCs/>
        </w:rPr>
        <w:t xml:space="preserve">Impact of Tariffs on U.S. CRE Construction Costs. </w:t>
      </w:r>
      <w:hyperlink r:id="rId1" w:history="1">
        <w:r w:rsidRPr="00BA5DE8">
          <w:rPr>
            <w:rStyle w:val="Hyperlink"/>
          </w:rPr>
          <w:t>https://www.cushmanwakefield.com/en/united-states/insights/the-impact-of-tariffs-on-cre-construction-costs</w:t>
        </w:r>
      </w:hyperlink>
      <w:r>
        <w:t xml:space="preserve">. </w:t>
      </w:r>
    </w:p>
  </w:footnote>
  <w:footnote w:id="2">
    <w:p w14:paraId="09F6B2FF" w14:textId="7CD14294" w:rsidR="008963BF" w:rsidRDefault="008963BF" w:rsidP="008963BF">
      <w:pPr>
        <w:pStyle w:val="FootnoteText"/>
      </w:pPr>
      <w:r>
        <w:rPr>
          <w:rStyle w:val="FootnoteReference"/>
        </w:rPr>
        <w:footnoteRef/>
      </w:r>
      <w:r>
        <w:t xml:space="preserve"> Yale Budget Lab. (April 1, 2026). </w:t>
      </w:r>
      <w:r>
        <w:rPr>
          <w:i/>
          <w:iCs/>
        </w:rPr>
        <w:t xml:space="preserve">Tracking the Economic Effects of Tariffs. </w:t>
      </w:r>
      <w:hyperlink r:id="rId2" w:history="1">
        <w:r w:rsidRPr="00BA5DE8">
          <w:rPr>
            <w:rStyle w:val="Hyperlink"/>
          </w:rPr>
          <w:t>https://budgetlab.yale.edu/research/tracking-economic-effects-tariffs</w:t>
        </w:r>
      </w:hyperlink>
      <w:r w:rsidR="005661A9">
        <w:t>.</w:t>
      </w:r>
      <w:r>
        <w:t xml:space="preserve"> </w:t>
      </w:r>
    </w:p>
  </w:footnote>
  <w:footnote w:id="3">
    <w:p w14:paraId="05C3E13A" w14:textId="1FB97BCF" w:rsidR="00F32FDA" w:rsidRPr="00823AB2" w:rsidRDefault="00F32FDA">
      <w:pPr>
        <w:pStyle w:val="FootnoteText"/>
      </w:pPr>
      <w:r>
        <w:rPr>
          <w:rStyle w:val="FootnoteReference"/>
        </w:rPr>
        <w:footnoteRef/>
      </w:r>
      <w:r>
        <w:t xml:space="preserve"> </w:t>
      </w:r>
      <w:r w:rsidR="0003752D">
        <w:t xml:space="preserve">Irwin, J. (June 3, 2026). </w:t>
      </w:r>
      <w:r w:rsidR="00823AB2">
        <w:t xml:space="preserve">“How USMCA uncertainty, tariffs threaten production of affordable vehicles.” </w:t>
      </w:r>
      <w:r w:rsidR="00823AB2">
        <w:rPr>
          <w:i/>
          <w:iCs/>
        </w:rPr>
        <w:t xml:space="preserve">Automotive News. </w:t>
      </w:r>
      <w:hyperlink r:id="rId3" w:history="1">
        <w:r w:rsidR="00823AB2" w:rsidRPr="00823AB2">
          <w:rPr>
            <w:rStyle w:val="Hyperlink"/>
          </w:rPr>
          <w:t>https://www.autonews.com/manufacturing/an-tariffs-usmca-vehicle-affordability-0603/</w:t>
        </w:r>
      </w:hyperlink>
      <w:r w:rsidR="00823AB2" w:rsidRPr="00823AB2">
        <w:t>.</w:t>
      </w:r>
      <w:r w:rsidR="00823AB2">
        <w:rPr>
          <w:i/>
          <w:iCs/>
        </w:rPr>
        <w:t xml:space="preserve"> </w:t>
      </w:r>
    </w:p>
  </w:footnote>
  <w:footnote w:id="4">
    <w:p w14:paraId="72789591" w14:textId="0ADB519C" w:rsidR="00034C74" w:rsidRDefault="00034C74">
      <w:pPr>
        <w:pStyle w:val="FootnoteText"/>
      </w:pPr>
      <w:r>
        <w:rPr>
          <w:rStyle w:val="FootnoteReference"/>
        </w:rPr>
        <w:footnoteRef/>
      </w:r>
      <w:r>
        <w:t xml:space="preserve"> </w:t>
      </w:r>
      <w:r w:rsidR="0036520C">
        <w:t>S&amp;P Global Mobility. (May 2026). Michigan Light Vehicle Automotive Mandate Summary (Prepared for MEDC).</w:t>
      </w:r>
    </w:p>
  </w:footnote>
  <w:footnote w:id="5">
    <w:p w14:paraId="1CF8F039" w14:textId="6C3101A8" w:rsidR="00F64377" w:rsidRDefault="00F64377">
      <w:pPr>
        <w:pStyle w:val="FootnoteText"/>
      </w:pPr>
      <w:r>
        <w:rPr>
          <w:rStyle w:val="FootnoteReference"/>
        </w:rPr>
        <w:footnoteRef/>
      </w:r>
      <w:r>
        <w:t xml:space="preserve"> </w:t>
      </w:r>
      <w:r w:rsidR="005661A9">
        <w:t xml:space="preserve">Yale Budget Lab. (April 1, 2026). </w:t>
      </w:r>
      <w:r w:rsidR="005661A9">
        <w:rPr>
          <w:i/>
          <w:iCs/>
        </w:rPr>
        <w:t xml:space="preserve">Tracking the Economic Effects of Tariffs. </w:t>
      </w:r>
      <w:hyperlink r:id="rId4" w:history="1">
        <w:r w:rsidR="005661A9" w:rsidRPr="00BA5DE8">
          <w:rPr>
            <w:rStyle w:val="Hyperlink"/>
          </w:rPr>
          <w:t>https://budgetlab.yale.edu/research/tracking-economic-effects-tariffs</w:t>
        </w:r>
      </w:hyperlink>
      <w:r w:rsidR="005661A9">
        <w:t>.</w:t>
      </w:r>
    </w:p>
  </w:footnote>
  <w:footnote w:id="6">
    <w:p w14:paraId="77F6532A" w14:textId="3082F50D" w:rsidR="00890665" w:rsidRPr="00890665" w:rsidRDefault="00890665" w:rsidP="00890665">
      <w:pPr>
        <w:pStyle w:val="FootnoteText"/>
      </w:pPr>
      <w:r>
        <w:rPr>
          <w:rStyle w:val="FootnoteReference"/>
        </w:rPr>
        <w:footnoteRef/>
      </w:r>
      <w:r>
        <w:t xml:space="preserve">Michigan Business Network, </w:t>
      </w:r>
      <w:r>
        <w:rPr>
          <w:i/>
          <w:iCs/>
        </w:rPr>
        <w:t>MFBI Survey 202</w:t>
      </w:r>
      <w:r w:rsidR="00DA4DCB">
        <w:rPr>
          <w:i/>
          <w:iCs/>
        </w:rPr>
        <w:t xml:space="preserve">5 Q4 </w:t>
      </w:r>
      <w:r>
        <w:t xml:space="preserve"> </w:t>
      </w:r>
      <w:hyperlink r:id="rId5" w:history="1">
        <w:r w:rsidRPr="00890665">
          <w:rPr>
            <w:rStyle w:val="Hyperlink"/>
          </w:rPr>
          <w:t>https://michiganbusinessnetwork.com/wp-content/uploads/2025-Q4-MFBI-Full.pdf</w:t>
        </w:r>
      </w:hyperlink>
    </w:p>
    <w:p w14:paraId="455089E9" w14:textId="3FE16306" w:rsidR="00890665" w:rsidRDefault="0089066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7A43" w14:textId="4E528DDB" w:rsidR="00C64FF2" w:rsidRDefault="00596EA4">
    <w:pPr>
      <w:pStyle w:val="Header"/>
    </w:pPr>
    <w:r>
      <w:rPr>
        <w:noProof/>
      </w:rPr>
      <w:drawing>
        <wp:anchor distT="0" distB="0" distL="114300" distR="114300" simplePos="0" relativeHeight="251656704" behindDoc="0" locked="0" layoutInCell="1" allowOverlap="1" wp14:anchorId="674A62ED" wp14:editId="116D0673">
          <wp:simplePos x="0" y="0"/>
          <wp:positionH relativeFrom="margin">
            <wp:align>right</wp:align>
          </wp:positionH>
          <wp:positionV relativeFrom="margin">
            <wp:posOffset>-1133475</wp:posOffset>
          </wp:positionV>
          <wp:extent cx="5943600" cy="711200"/>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11200"/>
                  </a:xfrm>
                  <a:prstGeom prst="rect">
                    <a:avLst/>
                  </a:prstGeom>
                  <a:noFill/>
                  <a:ln>
                    <a:noFill/>
                  </a:ln>
                </pic:spPr>
              </pic:pic>
            </a:graphicData>
          </a:graphic>
        </wp:anchor>
      </w:drawing>
    </w:r>
  </w:p>
  <w:p w14:paraId="4DF82AD3" w14:textId="0929EB2A" w:rsidR="00224365" w:rsidRDefault="002243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4997"/>
    <w:multiLevelType w:val="hybridMultilevel"/>
    <w:tmpl w:val="C22A77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DC38CE"/>
    <w:multiLevelType w:val="hybridMultilevel"/>
    <w:tmpl w:val="11621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FF74E9"/>
    <w:multiLevelType w:val="hybridMultilevel"/>
    <w:tmpl w:val="E492363E"/>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15:restartNumberingAfterBreak="0">
    <w:nsid w:val="6B573275"/>
    <w:multiLevelType w:val="hybridMultilevel"/>
    <w:tmpl w:val="04BE3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604738">
    <w:abstractNumId w:val="1"/>
  </w:num>
  <w:num w:numId="2" w16cid:durableId="1967734124">
    <w:abstractNumId w:val="0"/>
  </w:num>
  <w:num w:numId="3" w16cid:durableId="1712529873">
    <w:abstractNumId w:val="3"/>
  </w:num>
  <w:num w:numId="4" w16cid:durableId="1943031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DB8"/>
    <w:rsid w:val="000001DD"/>
    <w:rsid w:val="00023234"/>
    <w:rsid w:val="000245FF"/>
    <w:rsid w:val="00034C74"/>
    <w:rsid w:val="00036D08"/>
    <w:rsid w:val="0003752D"/>
    <w:rsid w:val="0004290C"/>
    <w:rsid w:val="00043C95"/>
    <w:rsid w:val="000B31E0"/>
    <w:rsid w:val="000C3EA4"/>
    <w:rsid w:val="000D17E7"/>
    <w:rsid w:val="000E4783"/>
    <w:rsid w:val="00106FBE"/>
    <w:rsid w:val="00125E21"/>
    <w:rsid w:val="001320E0"/>
    <w:rsid w:val="00133F9F"/>
    <w:rsid w:val="00140DB8"/>
    <w:rsid w:val="00153548"/>
    <w:rsid w:val="001555AA"/>
    <w:rsid w:val="001744DC"/>
    <w:rsid w:val="00191A14"/>
    <w:rsid w:val="00194F17"/>
    <w:rsid w:val="001A064C"/>
    <w:rsid w:val="001A7E5F"/>
    <w:rsid w:val="001B67E6"/>
    <w:rsid w:val="001C60D4"/>
    <w:rsid w:val="001D3D70"/>
    <w:rsid w:val="001D5D5D"/>
    <w:rsid w:val="001E33A6"/>
    <w:rsid w:val="001F1478"/>
    <w:rsid w:val="001F3DD6"/>
    <w:rsid w:val="00217DA0"/>
    <w:rsid w:val="00224365"/>
    <w:rsid w:val="002244F5"/>
    <w:rsid w:val="00227750"/>
    <w:rsid w:val="00244807"/>
    <w:rsid w:val="00266720"/>
    <w:rsid w:val="00273060"/>
    <w:rsid w:val="00281B2A"/>
    <w:rsid w:val="00285324"/>
    <w:rsid w:val="002A7FF9"/>
    <w:rsid w:val="002B23E9"/>
    <w:rsid w:val="002C2C12"/>
    <w:rsid w:val="002D6C62"/>
    <w:rsid w:val="002E6083"/>
    <w:rsid w:val="002F37FD"/>
    <w:rsid w:val="00305F17"/>
    <w:rsid w:val="00361FD3"/>
    <w:rsid w:val="0036392D"/>
    <w:rsid w:val="0036520C"/>
    <w:rsid w:val="00372F91"/>
    <w:rsid w:val="003825B7"/>
    <w:rsid w:val="003945F8"/>
    <w:rsid w:val="003A3258"/>
    <w:rsid w:val="003C7639"/>
    <w:rsid w:val="003D08AA"/>
    <w:rsid w:val="003F7B08"/>
    <w:rsid w:val="0040557E"/>
    <w:rsid w:val="00405CCC"/>
    <w:rsid w:val="00414C1C"/>
    <w:rsid w:val="00421208"/>
    <w:rsid w:val="004326A2"/>
    <w:rsid w:val="004345C0"/>
    <w:rsid w:val="00464027"/>
    <w:rsid w:val="004D66FF"/>
    <w:rsid w:val="004E59DD"/>
    <w:rsid w:val="004E5AC2"/>
    <w:rsid w:val="00501482"/>
    <w:rsid w:val="005123C8"/>
    <w:rsid w:val="00517F92"/>
    <w:rsid w:val="00532FF9"/>
    <w:rsid w:val="00556499"/>
    <w:rsid w:val="005661A9"/>
    <w:rsid w:val="005928FD"/>
    <w:rsid w:val="00596EA4"/>
    <w:rsid w:val="005A08F2"/>
    <w:rsid w:val="005A2733"/>
    <w:rsid w:val="005B6496"/>
    <w:rsid w:val="005C3784"/>
    <w:rsid w:val="005D02DD"/>
    <w:rsid w:val="005E68BE"/>
    <w:rsid w:val="005F0933"/>
    <w:rsid w:val="006021B5"/>
    <w:rsid w:val="0060642D"/>
    <w:rsid w:val="00615586"/>
    <w:rsid w:val="00617F24"/>
    <w:rsid w:val="006227AD"/>
    <w:rsid w:val="0062448B"/>
    <w:rsid w:val="00652C1F"/>
    <w:rsid w:val="006741AD"/>
    <w:rsid w:val="006A5C19"/>
    <w:rsid w:val="006B2C66"/>
    <w:rsid w:val="006B72F3"/>
    <w:rsid w:val="00701BAF"/>
    <w:rsid w:val="0070704C"/>
    <w:rsid w:val="00714B38"/>
    <w:rsid w:val="00730301"/>
    <w:rsid w:val="007579B0"/>
    <w:rsid w:val="007618AA"/>
    <w:rsid w:val="00764010"/>
    <w:rsid w:val="00770096"/>
    <w:rsid w:val="0078235E"/>
    <w:rsid w:val="007C63EF"/>
    <w:rsid w:val="00823AB2"/>
    <w:rsid w:val="00827106"/>
    <w:rsid w:val="00832A3A"/>
    <w:rsid w:val="008363F8"/>
    <w:rsid w:val="00844743"/>
    <w:rsid w:val="008462DD"/>
    <w:rsid w:val="00856AB5"/>
    <w:rsid w:val="00880135"/>
    <w:rsid w:val="00890665"/>
    <w:rsid w:val="008963BF"/>
    <w:rsid w:val="008A4B86"/>
    <w:rsid w:val="008A5DA7"/>
    <w:rsid w:val="008C0519"/>
    <w:rsid w:val="008C420F"/>
    <w:rsid w:val="008C67B3"/>
    <w:rsid w:val="008D797B"/>
    <w:rsid w:val="008E0CA9"/>
    <w:rsid w:val="008E73C6"/>
    <w:rsid w:val="0091297D"/>
    <w:rsid w:val="0093228F"/>
    <w:rsid w:val="00936E8F"/>
    <w:rsid w:val="00947359"/>
    <w:rsid w:val="009546D9"/>
    <w:rsid w:val="00963496"/>
    <w:rsid w:val="00973382"/>
    <w:rsid w:val="00984528"/>
    <w:rsid w:val="00994F93"/>
    <w:rsid w:val="009A25AA"/>
    <w:rsid w:val="009A4E8E"/>
    <w:rsid w:val="009B5C7C"/>
    <w:rsid w:val="009C64E3"/>
    <w:rsid w:val="009D06DE"/>
    <w:rsid w:val="009D1C73"/>
    <w:rsid w:val="009F4321"/>
    <w:rsid w:val="009F785D"/>
    <w:rsid w:val="00A05112"/>
    <w:rsid w:val="00A26460"/>
    <w:rsid w:val="00A56178"/>
    <w:rsid w:val="00A80B36"/>
    <w:rsid w:val="00A92779"/>
    <w:rsid w:val="00A95F7E"/>
    <w:rsid w:val="00AE7205"/>
    <w:rsid w:val="00AF1120"/>
    <w:rsid w:val="00AF56B4"/>
    <w:rsid w:val="00B24283"/>
    <w:rsid w:val="00B3557E"/>
    <w:rsid w:val="00B67DC9"/>
    <w:rsid w:val="00B83C18"/>
    <w:rsid w:val="00B91E99"/>
    <w:rsid w:val="00B96660"/>
    <w:rsid w:val="00BA2177"/>
    <w:rsid w:val="00BB2793"/>
    <w:rsid w:val="00BC49D9"/>
    <w:rsid w:val="00BD22C0"/>
    <w:rsid w:val="00BF3CB9"/>
    <w:rsid w:val="00C04FB1"/>
    <w:rsid w:val="00C05D61"/>
    <w:rsid w:val="00C254B5"/>
    <w:rsid w:val="00C33F62"/>
    <w:rsid w:val="00C47A1E"/>
    <w:rsid w:val="00C54089"/>
    <w:rsid w:val="00C60AA1"/>
    <w:rsid w:val="00C61F4B"/>
    <w:rsid w:val="00C64FF2"/>
    <w:rsid w:val="00C709BA"/>
    <w:rsid w:val="00C71BC9"/>
    <w:rsid w:val="00C75CE4"/>
    <w:rsid w:val="00C80A66"/>
    <w:rsid w:val="00C848F5"/>
    <w:rsid w:val="00C91A65"/>
    <w:rsid w:val="00C91B72"/>
    <w:rsid w:val="00CB791C"/>
    <w:rsid w:val="00CC0286"/>
    <w:rsid w:val="00CD5F58"/>
    <w:rsid w:val="00CE19B0"/>
    <w:rsid w:val="00D17594"/>
    <w:rsid w:val="00D358DE"/>
    <w:rsid w:val="00D5125A"/>
    <w:rsid w:val="00D51769"/>
    <w:rsid w:val="00D73419"/>
    <w:rsid w:val="00D97D9E"/>
    <w:rsid w:val="00DA4DCB"/>
    <w:rsid w:val="00DA58C1"/>
    <w:rsid w:val="00DB0592"/>
    <w:rsid w:val="00DB21F1"/>
    <w:rsid w:val="00DC3B38"/>
    <w:rsid w:val="00DD22B5"/>
    <w:rsid w:val="00DE73A0"/>
    <w:rsid w:val="00E25145"/>
    <w:rsid w:val="00E358BF"/>
    <w:rsid w:val="00E43530"/>
    <w:rsid w:val="00E55B8A"/>
    <w:rsid w:val="00E637F4"/>
    <w:rsid w:val="00E7128C"/>
    <w:rsid w:val="00E75A46"/>
    <w:rsid w:val="00E7644E"/>
    <w:rsid w:val="00E77D56"/>
    <w:rsid w:val="00E817F4"/>
    <w:rsid w:val="00E958FE"/>
    <w:rsid w:val="00E96210"/>
    <w:rsid w:val="00EC6B89"/>
    <w:rsid w:val="00ED1EEB"/>
    <w:rsid w:val="00EF28E5"/>
    <w:rsid w:val="00F11931"/>
    <w:rsid w:val="00F25B74"/>
    <w:rsid w:val="00F32FDA"/>
    <w:rsid w:val="00F40116"/>
    <w:rsid w:val="00F64377"/>
    <w:rsid w:val="00F73F9E"/>
    <w:rsid w:val="00F73FA1"/>
    <w:rsid w:val="00F87710"/>
    <w:rsid w:val="00FA1C1A"/>
    <w:rsid w:val="00FB1267"/>
    <w:rsid w:val="00FD54A2"/>
    <w:rsid w:val="00FD71AE"/>
    <w:rsid w:val="00FE74D2"/>
    <w:rsid w:val="00FF5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F171A"/>
  <w15:chartTrackingRefBased/>
  <w15:docId w15:val="{5E9B59EE-075E-4618-AA69-9536C078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D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D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D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D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D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D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D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D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D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D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D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D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D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D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D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D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D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DB8"/>
    <w:rPr>
      <w:rFonts w:eastAsiaTheme="majorEastAsia" w:cstheme="majorBidi"/>
      <w:color w:val="272727" w:themeColor="text1" w:themeTint="D8"/>
    </w:rPr>
  </w:style>
  <w:style w:type="paragraph" w:styleId="Title">
    <w:name w:val="Title"/>
    <w:basedOn w:val="Normal"/>
    <w:next w:val="Normal"/>
    <w:link w:val="TitleChar"/>
    <w:uiPriority w:val="10"/>
    <w:qFormat/>
    <w:rsid w:val="00140D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D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D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D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DB8"/>
    <w:pPr>
      <w:spacing w:before="160"/>
      <w:jc w:val="center"/>
    </w:pPr>
    <w:rPr>
      <w:i/>
      <w:iCs/>
      <w:color w:val="404040" w:themeColor="text1" w:themeTint="BF"/>
    </w:rPr>
  </w:style>
  <w:style w:type="character" w:customStyle="1" w:styleId="QuoteChar">
    <w:name w:val="Quote Char"/>
    <w:basedOn w:val="DefaultParagraphFont"/>
    <w:link w:val="Quote"/>
    <w:uiPriority w:val="29"/>
    <w:rsid w:val="00140DB8"/>
    <w:rPr>
      <w:i/>
      <w:iCs/>
      <w:color w:val="404040" w:themeColor="text1" w:themeTint="BF"/>
    </w:rPr>
  </w:style>
  <w:style w:type="paragraph" w:styleId="ListParagraph">
    <w:name w:val="List Paragraph"/>
    <w:basedOn w:val="Normal"/>
    <w:uiPriority w:val="34"/>
    <w:qFormat/>
    <w:rsid w:val="00140DB8"/>
    <w:pPr>
      <w:ind w:left="720"/>
      <w:contextualSpacing/>
    </w:pPr>
  </w:style>
  <w:style w:type="character" w:styleId="IntenseEmphasis">
    <w:name w:val="Intense Emphasis"/>
    <w:basedOn w:val="DefaultParagraphFont"/>
    <w:uiPriority w:val="21"/>
    <w:qFormat/>
    <w:rsid w:val="00140DB8"/>
    <w:rPr>
      <w:i/>
      <w:iCs/>
      <w:color w:val="0F4761" w:themeColor="accent1" w:themeShade="BF"/>
    </w:rPr>
  </w:style>
  <w:style w:type="paragraph" w:styleId="IntenseQuote">
    <w:name w:val="Intense Quote"/>
    <w:basedOn w:val="Normal"/>
    <w:next w:val="Normal"/>
    <w:link w:val="IntenseQuoteChar"/>
    <w:uiPriority w:val="30"/>
    <w:qFormat/>
    <w:rsid w:val="00140D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DB8"/>
    <w:rPr>
      <w:i/>
      <w:iCs/>
      <w:color w:val="0F4761" w:themeColor="accent1" w:themeShade="BF"/>
    </w:rPr>
  </w:style>
  <w:style w:type="character" w:styleId="IntenseReference">
    <w:name w:val="Intense Reference"/>
    <w:basedOn w:val="DefaultParagraphFont"/>
    <w:uiPriority w:val="32"/>
    <w:qFormat/>
    <w:rsid w:val="00140DB8"/>
    <w:rPr>
      <w:b/>
      <w:bCs/>
      <w:smallCaps/>
      <w:color w:val="0F4761" w:themeColor="accent1" w:themeShade="BF"/>
      <w:spacing w:val="5"/>
    </w:rPr>
  </w:style>
  <w:style w:type="character" w:styleId="CommentReference">
    <w:name w:val="annotation reference"/>
    <w:basedOn w:val="DefaultParagraphFont"/>
    <w:uiPriority w:val="99"/>
    <w:semiHidden/>
    <w:unhideWhenUsed/>
    <w:rsid w:val="008A5DA7"/>
    <w:rPr>
      <w:sz w:val="16"/>
      <w:szCs w:val="16"/>
    </w:rPr>
  </w:style>
  <w:style w:type="paragraph" w:styleId="CommentText">
    <w:name w:val="annotation text"/>
    <w:basedOn w:val="Normal"/>
    <w:link w:val="CommentTextChar"/>
    <w:uiPriority w:val="99"/>
    <w:unhideWhenUsed/>
    <w:rsid w:val="008A5DA7"/>
    <w:pPr>
      <w:spacing w:line="240" w:lineRule="auto"/>
    </w:pPr>
    <w:rPr>
      <w:sz w:val="20"/>
      <w:szCs w:val="20"/>
    </w:rPr>
  </w:style>
  <w:style w:type="character" w:customStyle="1" w:styleId="CommentTextChar">
    <w:name w:val="Comment Text Char"/>
    <w:basedOn w:val="DefaultParagraphFont"/>
    <w:link w:val="CommentText"/>
    <w:uiPriority w:val="99"/>
    <w:rsid w:val="008A5DA7"/>
    <w:rPr>
      <w:sz w:val="20"/>
      <w:szCs w:val="20"/>
    </w:rPr>
  </w:style>
  <w:style w:type="paragraph" w:styleId="CommentSubject">
    <w:name w:val="annotation subject"/>
    <w:basedOn w:val="CommentText"/>
    <w:next w:val="CommentText"/>
    <w:link w:val="CommentSubjectChar"/>
    <w:uiPriority w:val="99"/>
    <w:semiHidden/>
    <w:unhideWhenUsed/>
    <w:rsid w:val="008A5DA7"/>
    <w:rPr>
      <w:b/>
      <w:bCs/>
    </w:rPr>
  </w:style>
  <w:style w:type="character" w:customStyle="1" w:styleId="CommentSubjectChar">
    <w:name w:val="Comment Subject Char"/>
    <w:basedOn w:val="CommentTextChar"/>
    <w:link w:val="CommentSubject"/>
    <w:uiPriority w:val="99"/>
    <w:semiHidden/>
    <w:rsid w:val="008A5DA7"/>
    <w:rPr>
      <w:b/>
      <w:bCs/>
      <w:sz w:val="20"/>
      <w:szCs w:val="20"/>
    </w:rPr>
  </w:style>
  <w:style w:type="paragraph" w:styleId="FootnoteText">
    <w:name w:val="footnote text"/>
    <w:basedOn w:val="Normal"/>
    <w:link w:val="FootnoteTextChar"/>
    <w:uiPriority w:val="99"/>
    <w:semiHidden/>
    <w:unhideWhenUsed/>
    <w:rsid w:val="001A06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064C"/>
    <w:rPr>
      <w:sz w:val="20"/>
      <w:szCs w:val="20"/>
    </w:rPr>
  </w:style>
  <w:style w:type="character" w:styleId="FootnoteReference">
    <w:name w:val="footnote reference"/>
    <w:basedOn w:val="DefaultParagraphFont"/>
    <w:uiPriority w:val="99"/>
    <w:semiHidden/>
    <w:unhideWhenUsed/>
    <w:rsid w:val="001A064C"/>
    <w:rPr>
      <w:vertAlign w:val="superscript"/>
    </w:rPr>
  </w:style>
  <w:style w:type="character" w:styleId="Hyperlink">
    <w:name w:val="Hyperlink"/>
    <w:basedOn w:val="DefaultParagraphFont"/>
    <w:uiPriority w:val="99"/>
    <w:unhideWhenUsed/>
    <w:rsid w:val="008363F8"/>
    <w:rPr>
      <w:color w:val="467886" w:themeColor="hyperlink"/>
      <w:u w:val="single"/>
    </w:rPr>
  </w:style>
  <w:style w:type="character" w:styleId="UnresolvedMention">
    <w:name w:val="Unresolved Mention"/>
    <w:basedOn w:val="DefaultParagraphFont"/>
    <w:uiPriority w:val="99"/>
    <w:semiHidden/>
    <w:unhideWhenUsed/>
    <w:rsid w:val="008363F8"/>
    <w:rPr>
      <w:color w:val="605E5C"/>
      <w:shd w:val="clear" w:color="auto" w:fill="E1DFDD"/>
    </w:rPr>
  </w:style>
  <w:style w:type="paragraph" w:styleId="Revision">
    <w:name w:val="Revision"/>
    <w:hidden/>
    <w:uiPriority w:val="99"/>
    <w:semiHidden/>
    <w:rsid w:val="008963BF"/>
    <w:pPr>
      <w:spacing w:after="0" w:line="240" w:lineRule="auto"/>
    </w:pPr>
  </w:style>
  <w:style w:type="paragraph" w:styleId="Header">
    <w:name w:val="header"/>
    <w:basedOn w:val="Normal"/>
    <w:link w:val="HeaderChar"/>
    <w:uiPriority w:val="99"/>
    <w:unhideWhenUsed/>
    <w:rsid w:val="00F64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377"/>
  </w:style>
  <w:style w:type="paragraph" w:styleId="Footer">
    <w:name w:val="footer"/>
    <w:basedOn w:val="Normal"/>
    <w:link w:val="FooterChar"/>
    <w:uiPriority w:val="99"/>
    <w:unhideWhenUsed/>
    <w:rsid w:val="00F64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www.autonews.com/manufacturing/an-tariffs-usmca-vehicle-affordability-0603/" TargetMode="External"/><Relationship Id="rId2" Type="http://schemas.openxmlformats.org/officeDocument/2006/relationships/hyperlink" Target="https://budgetlab.yale.edu/research/tracking-economic-effects-tariffs" TargetMode="External"/><Relationship Id="rId1" Type="http://schemas.openxmlformats.org/officeDocument/2006/relationships/hyperlink" Target="https://www.cushmanwakefield.com/en/united-states/insights/the-impact-of-tariffs-on-cre-construction-costs" TargetMode="External"/><Relationship Id="rId5" Type="http://schemas.openxmlformats.org/officeDocument/2006/relationships/hyperlink" Target="https://michiganbusinessnetwork.com/wp-content/uploads/2025-Q4-MFBI-Full.pdf" TargetMode="External"/><Relationship Id="rId4" Type="http://schemas.openxmlformats.org/officeDocument/2006/relationships/hyperlink" Target="https://budgetlab.yale.edu/research/tracking-economic-effects-tariff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https://medcmi.sharepoint.com/sites/CorporateResearch/Shared%20Documents/Projects%20and%20Requests/2026/0428_EOG_Tariff%20Impact%20Memo/4.21.26_New%20Opportunities%20Created%20since%201-1-17.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MEDC Business Development Pipeline: </a:t>
            </a:r>
          </a:p>
          <a:p>
            <a:pPr>
              <a:defRPr/>
            </a:pPr>
            <a:r>
              <a:rPr lang="en-US"/>
              <a:t>New Opportunities Created by Year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Pivot!$N$6</c:f>
              <c:strCache>
                <c:ptCount val="1"/>
                <c:pt idx="0">
                  <c:v>New Opportunities</c:v>
                </c:pt>
              </c:strCache>
            </c:strRef>
          </c:tx>
          <c:spPr>
            <a:solidFill>
              <a:schemeClr val="accent1"/>
            </a:solidFill>
            <a:ln>
              <a:solidFill>
                <a:schemeClr val="accent1"/>
              </a:solidFill>
            </a:ln>
            <a:effectLst/>
          </c:spPr>
          <c:invertIfNegative val="0"/>
          <c:dLbls>
            <c:dLbl>
              <c:idx val="0"/>
              <c:layout>
                <c:manualLayout>
                  <c:x val="-1.2745632822443946E-17"/>
                  <c:y val="-0.259671186934966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D7-4AEB-9885-7CDC875E6A34}"/>
                </c:ext>
              </c:extLst>
            </c:dLbl>
            <c:dLbl>
              <c:idx val="1"/>
              <c:layout>
                <c:manualLayout>
                  <c:x val="-2.5491265644887892E-17"/>
                  <c:y val="-0.257535360163312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D7-4AEB-9885-7CDC875E6A34}"/>
                </c:ext>
              </c:extLst>
            </c:dLbl>
            <c:dLbl>
              <c:idx val="2"/>
              <c:layout>
                <c:manualLayout>
                  <c:x val="0"/>
                  <c:y val="-0.17978164187809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FD7-4AEB-9885-7CDC875E6A34}"/>
                </c:ext>
              </c:extLst>
            </c:dLbl>
            <c:dLbl>
              <c:idx val="3"/>
              <c:layout>
                <c:manualLayout>
                  <c:x val="5.0982531289775783E-17"/>
                  <c:y val="-0.163694590259550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D7-4AEB-9885-7CDC875E6A34}"/>
                </c:ext>
              </c:extLst>
            </c:dLbl>
            <c:dLbl>
              <c:idx val="4"/>
              <c:layout>
                <c:manualLayout>
                  <c:x val="0"/>
                  <c:y val="-0.1945279235928842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FD7-4AEB-9885-7CDC875E6A34}"/>
                </c:ext>
              </c:extLst>
            </c:dLbl>
            <c:dLbl>
              <c:idx val="5"/>
              <c:layout>
                <c:manualLayout>
                  <c:x val="-1.0196506257955157E-16"/>
                  <c:y val="-0.21396653543307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FD7-4AEB-9885-7CDC875E6A34}"/>
                </c:ext>
              </c:extLst>
            </c:dLbl>
            <c:dLbl>
              <c:idx val="6"/>
              <c:layout>
                <c:manualLayout>
                  <c:x val="0"/>
                  <c:y val="-0.245470253718285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FD7-4AEB-9885-7CDC875E6A34}"/>
                </c:ext>
              </c:extLst>
            </c:dLbl>
            <c:dLbl>
              <c:idx val="7"/>
              <c:layout>
                <c:manualLayout>
                  <c:x val="0"/>
                  <c:y val="-0.137553222513852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FD7-4AEB-9885-7CDC875E6A34}"/>
                </c:ext>
              </c:extLst>
            </c:dLbl>
            <c:dLbl>
              <c:idx val="8"/>
              <c:layout>
                <c:manualLayout>
                  <c:x val="2.7808974678723208E-3"/>
                  <c:y val="-0.1475452026829979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FD7-4AEB-9885-7CDC875E6A34}"/>
                </c:ext>
              </c:extLst>
            </c:dLbl>
            <c:dLbl>
              <c:idx val="9"/>
              <c:delete val="1"/>
              <c:extLst>
                <c:ext xmlns:c15="http://schemas.microsoft.com/office/drawing/2012/chart" uri="{CE6537A1-D6FC-4f65-9D91-7224C49458BB}"/>
                <c:ext xmlns:c16="http://schemas.microsoft.com/office/drawing/2014/chart" uri="{C3380CC4-5D6E-409C-BE32-E72D297353CC}">
                  <c16:uniqueId val="{00000009-CFD7-4AEB-9885-7CDC875E6A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Pivot!$O$5:$X$5</c:f>
              <c:strCache>
                <c:ptCount val="10"/>
                <c:pt idx="0">
                  <c:v>2017</c:v>
                </c:pt>
                <c:pt idx="1">
                  <c:v>2018</c:v>
                </c:pt>
                <c:pt idx="2">
                  <c:v>2019</c:v>
                </c:pt>
                <c:pt idx="3">
                  <c:v>2020</c:v>
                </c:pt>
                <c:pt idx="4">
                  <c:v>2021</c:v>
                </c:pt>
                <c:pt idx="5">
                  <c:v>2022</c:v>
                </c:pt>
                <c:pt idx="6">
                  <c:v>2023</c:v>
                </c:pt>
                <c:pt idx="7">
                  <c:v>2024</c:v>
                </c:pt>
                <c:pt idx="8">
                  <c:v>2025</c:v>
                </c:pt>
                <c:pt idx="9">
                  <c:v>2026</c:v>
                </c:pt>
              </c:strCache>
            </c:strRef>
          </c:cat>
          <c:val>
            <c:numRef>
              <c:f>Pivot!$O$6:$X$6</c:f>
              <c:numCache>
                <c:formatCode>General</c:formatCode>
                <c:ptCount val="10"/>
                <c:pt idx="0">
                  <c:v>339</c:v>
                </c:pt>
                <c:pt idx="1">
                  <c:v>322</c:v>
                </c:pt>
                <c:pt idx="2">
                  <c:v>206</c:v>
                </c:pt>
                <c:pt idx="3">
                  <c:v>182</c:v>
                </c:pt>
                <c:pt idx="4">
                  <c:v>228</c:v>
                </c:pt>
                <c:pt idx="5">
                  <c:v>257</c:v>
                </c:pt>
                <c:pt idx="6">
                  <c:v>304</c:v>
                </c:pt>
                <c:pt idx="7">
                  <c:v>143</c:v>
                </c:pt>
                <c:pt idx="8">
                  <c:v>151</c:v>
                </c:pt>
                <c:pt idx="9">
                  <c:v>38</c:v>
                </c:pt>
              </c:numCache>
            </c:numRef>
          </c:val>
          <c:extLst>
            <c:ext xmlns:c16="http://schemas.microsoft.com/office/drawing/2014/chart" uri="{C3380CC4-5D6E-409C-BE32-E72D297353CC}">
              <c16:uniqueId val="{0000000A-CFD7-4AEB-9885-7CDC875E6A34}"/>
            </c:ext>
          </c:extLst>
        </c:ser>
        <c:ser>
          <c:idx val="1"/>
          <c:order val="1"/>
          <c:tx>
            <c:strRef>
              <c:f>Pivot!$N$7</c:f>
              <c:strCache>
                <c:ptCount val="1"/>
                <c:pt idx="0">
                  <c:v>Annualized</c:v>
                </c:pt>
              </c:strCache>
            </c:strRef>
          </c:tx>
          <c:spPr>
            <a:solidFill>
              <a:schemeClr val="bg1"/>
            </a:solidFill>
            <a:ln>
              <a:solidFill>
                <a:schemeClr val="accent1"/>
              </a:solidFill>
            </a:ln>
            <a:effectLst/>
          </c:spPr>
          <c:invertIfNegative val="0"/>
          <c:cat>
            <c:strRef>
              <c:f>Pivot!$O$5:$X$5</c:f>
              <c:strCache>
                <c:ptCount val="10"/>
                <c:pt idx="0">
                  <c:v>2017</c:v>
                </c:pt>
                <c:pt idx="1">
                  <c:v>2018</c:v>
                </c:pt>
                <c:pt idx="2">
                  <c:v>2019</c:v>
                </c:pt>
                <c:pt idx="3">
                  <c:v>2020</c:v>
                </c:pt>
                <c:pt idx="4">
                  <c:v>2021</c:v>
                </c:pt>
                <c:pt idx="5">
                  <c:v>2022</c:v>
                </c:pt>
                <c:pt idx="6">
                  <c:v>2023</c:v>
                </c:pt>
                <c:pt idx="7">
                  <c:v>2024</c:v>
                </c:pt>
                <c:pt idx="8">
                  <c:v>2025</c:v>
                </c:pt>
                <c:pt idx="9">
                  <c:v>2026</c:v>
                </c:pt>
              </c:strCache>
            </c:strRef>
          </c:cat>
          <c:val>
            <c:numRef>
              <c:f>Pivot!$O$7:$X$7</c:f>
              <c:numCache>
                <c:formatCode>General</c:formatCode>
                <c:ptCount val="10"/>
                <c:pt idx="0">
                  <c:v>0</c:v>
                </c:pt>
                <c:pt idx="1">
                  <c:v>0</c:v>
                </c:pt>
                <c:pt idx="2">
                  <c:v>0</c:v>
                </c:pt>
                <c:pt idx="3">
                  <c:v>0</c:v>
                </c:pt>
                <c:pt idx="4">
                  <c:v>0</c:v>
                </c:pt>
                <c:pt idx="5">
                  <c:v>0</c:v>
                </c:pt>
                <c:pt idx="6">
                  <c:v>0</c:v>
                </c:pt>
                <c:pt idx="7">
                  <c:v>0</c:v>
                </c:pt>
                <c:pt idx="8">
                  <c:v>0</c:v>
                </c:pt>
                <c:pt idx="9">
                  <c:v>76</c:v>
                </c:pt>
              </c:numCache>
            </c:numRef>
          </c:val>
          <c:extLst>
            <c:ext xmlns:c16="http://schemas.microsoft.com/office/drawing/2014/chart" uri="{C3380CC4-5D6E-409C-BE32-E72D297353CC}">
              <c16:uniqueId val="{0000000B-CFD7-4AEB-9885-7CDC875E6A34}"/>
            </c:ext>
          </c:extLst>
        </c:ser>
        <c:dLbls>
          <c:showLegendKey val="0"/>
          <c:showVal val="0"/>
          <c:showCatName val="0"/>
          <c:showSerName val="0"/>
          <c:showPercent val="0"/>
          <c:showBubbleSize val="0"/>
        </c:dLbls>
        <c:gapWidth val="150"/>
        <c:overlap val="100"/>
        <c:axId val="1068105560"/>
        <c:axId val="1068102680"/>
      </c:barChart>
      <c:catAx>
        <c:axId val="106810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102680"/>
        <c:crosses val="autoZero"/>
        <c:auto val="1"/>
        <c:lblAlgn val="ctr"/>
        <c:lblOffset val="100"/>
        <c:noMultiLvlLbl val="0"/>
      </c:catAx>
      <c:valAx>
        <c:axId val="10681026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105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0.88513</cdr:x>
      <cdr:y>0.55756</cdr:y>
    </cdr:from>
    <cdr:to>
      <cdr:x>0.97016</cdr:x>
      <cdr:y>0.64036</cdr:y>
    </cdr:to>
    <cdr:sp macro="" textlink="">
      <cdr:nvSpPr>
        <cdr:cNvPr id="2" name="TextBox 1">
          <a:extLst xmlns:a="http://schemas.openxmlformats.org/drawingml/2006/main">
            <a:ext uri="{FF2B5EF4-FFF2-40B4-BE49-F238E27FC236}">
              <a16:creationId xmlns:a16="http://schemas.microsoft.com/office/drawing/2014/main" id="{2CB94318-1309-23F4-B9F6-CCAF12AC9FAA}"/>
            </a:ext>
          </a:extLst>
        </cdr:cNvPr>
        <cdr:cNvSpPr txBox="1"/>
      </cdr:nvSpPr>
      <cdr:spPr>
        <a:xfrm xmlns:a="http://schemas.openxmlformats.org/drawingml/2006/main">
          <a:off x="4042263" y="1529496"/>
          <a:ext cx="388327" cy="2271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kern="1200">
              <a:solidFill>
                <a:schemeClr val="tx1">
                  <a:lumMod val="75000"/>
                  <a:lumOff val="25000"/>
                </a:schemeClr>
              </a:solidFill>
            </a:rPr>
            <a:t>114</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08be130-bd1f-435b-b0d5-622175a82ca9" xsi:nil="true"/>
    <lcf76f155ced4ddcb4097134ff3c332f xmlns="3a095c48-85fb-49d4-8861-7827f585f7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29D5BEADA8AE41A84A47291D5451A6" ma:contentTypeVersion="12" ma:contentTypeDescription="Create a new document." ma:contentTypeScope="" ma:versionID="e678fd2b85ec0ae9cbbf7036d5e38588">
  <xsd:schema xmlns:xsd="http://www.w3.org/2001/XMLSchema" xmlns:xs="http://www.w3.org/2001/XMLSchema" xmlns:p="http://schemas.microsoft.com/office/2006/metadata/properties" xmlns:ns2="3a095c48-85fb-49d4-8861-7827f585f7cd" xmlns:ns3="708be130-bd1f-435b-b0d5-622175a82ca9" targetNamespace="http://schemas.microsoft.com/office/2006/metadata/properties" ma:root="true" ma:fieldsID="08a52aba30f2ed8cbe246527695b2a83" ns2:_="" ns3:_="">
    <xsd:import namespace="3a095c48-85fb-49d4-8861-7827f585f7cd"/>
    <xsd:import namespace="708be130-bd1f-435b-b0d5-622175a82c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95c48-85fb-49d4-8861-7827f585f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68f88e-352d-4476-ac8c-7af8125853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8be130-bd1f-435b-b0d5-622175a82c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230d8-f9ce-4206-adb2-9611f442e747}" ma:internalName="TaxCatchAll" ma:showField="CatchAllData" ma:web="708be130-bd1f-435b-b0d5-622175a82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Mic</b:Tag>
    <b:SourceType>InternetSite</b:SourceType>
    <b:Guid>{C003E44E-7CD7-45EB-BFBB-24FE9064D2FF}</b:Guid>
    <b:Title>MFBI Survey 2025 Q4</b:Title>
    <b:Author>
      <b:Author>
        <b:Corporate>Michigan Business Network</b:Corporate>
      </b:Author>
    </b:Author>
    <b:URL>https://michiganbusinessnetwork.com/wp-content/uploads/2025-Q4-MFBI-Full.pdf</b:URL>
    <b:RefOrder>1</b:RefOrder>
  </b:Source>
</b:Sources>
</file>

<file path=customXml/itemProps1.xml><?xml version="1.0" encoding="utf-8"?>
<ds:datastoreItem xmlns:ds="http://schemas.openxmlformats.org/officeDocument/2006/customXml" ds:itemID="{F5BF6094-FA5C-4BA7-9778-94FF880019B8}">
  <ds:schemaRefs>
    <ds:schemaRef ds:uri="http://schemas.microsoft.com/sharepoint/v3/contenttype/forms"/>
  </ds:schemaRefs>
</ds:datastoreItem>
</file>

<file path=customXml/itemProps2.xml><?xml version="1.0" encoding="utf-8"?>
<ds:datastoreItem xmlns:ds="http://schemas.openxmlformats.org/officeDocument/2006/customXml" ds:itemID="{2DB8E523-EF57-4B66-8E05-8D63BE8B4590}">
  <ds:schemaRefs>
    <ds:schemaRef ds:uri="http://schemas.microsoft.com/office/2006/metadata/properties"/>
    <ds:schemaRef ds:uri="http://schemas.microsoft.com/office/infopath/2007/PartnerControls"/>
    <ds:schemaRef ds:uri="708be130-bd1f-435b-b0d5-622175a82ca9"/>
    <ds:schemaRef ds:uri="3a095c48-85fb-49d4-8861-7827f585f7cd"/>
  </ds:schemaRefs>
</ds:datastoreItem>
</file>

<file path=customXml/itemProps3.xml><?xml version="1.0" encoding="utf-8"?>
<ds:datastoreItem xmlns:ds="http://schemas.openxmlformats.org/officeDocument/2006/customXml" ds:itemID="{9CFA7D63-3B79-4739-AA52-251BBDF8C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95c48-85fb-49d4-8861-7827f585f7cd"/>
    <ds:schemaRef ds:uri="708be130-bd1f-435b-b0d5-622175a82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4344AB-723B-4DF0-B6BB-DA9AD0527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1447</Words>
  <Characters>8253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Mulhall (MEDC)</dc:creator>
  <cp:keywords/>
  <dc:description/>
  <cp:lastModifiedBy>Megan Mulhall (MEDC)</cp:lastModifiedBy>
  <cp:revision>3</cp:revision>
  <cp:lastPrinted>2026-07-01T20:26:00Z</cp:lastPrinted>
  <dcterms:created xsi:type="dcterms:W3CDTF">2026-07-01T20:26:00Z</dcterms:created>
  <dcterms:modified xsi:type="dcterms:W3CDTF">2026-07-01T20:31:00Z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0x0101006D29D5BEADA8AE41A84A47291D5451A6</vt:lpwstr>
  </property>
  <property fmtid="{D5CDD505-2E9C-101B-9397-08002B2CF9AE}" pid="3" name="MediaServiceImageTags">
    <vt:lpwstr/>
  </property>
</Properties>
</file>