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69E19" w14:textId="383BEE9F" w:rsidR="00680110" w:rsidRPr="001E07B5" w:rsidRDefault="00EC57F9" w:rsidP="00680110">
      <w:pPr>
        <w:spacing w:after="0" w:line="240" w:lineRule="auto"/>
        <w:rPr>
          <w:rFonts w:ascii="Aptos" w:hAnsi="Aptos" w:cs="Times New Roman"/>
          <w:b/>
          <w:bCs/>
          <w:color w:val="000000"/>
          <w:kern w:val="0"/>
          <w:sz w:val="28"/>
          <w:szCs w:val="28"/>
          <w:u w:val="single"/>
          <w14:ligatures w14:val="none"/>
        </w:rPr>
      </w:pPr>
      <w:r w:rsidRPr="001E07B5">
        <w:rPr>
          <w:rFonts w:ascii="Aptos" w:hAnsi="Aptos" w:cs="Times New Roman"/>
          <w:b/>
          <w:bCs/>
          <w:color w:val="000000"/>
          <w:kern w:val="0"/>
          <w:sz w:val="28"/>
          <w:szCs w:val="28"/>
          <w:u w:val="single"/>
          <w14:ligatures w14:val="none"/>
        </w:rPr>
        <w:t xml:space="preserve">MDOT tariff impacts </w:t>
      </w:r>
    </w:p>
    <w:p w14:paraId="45415012" w14:textId="77777777" w:rsidR="001E07B5" w:rsidRDefault="001E07B5" w:rsidP="00680110">
      <w:pPr>
        <w:spacing w:after="0" w:line="240" w:lineRule="auto"/>
        <w:rPr>
          <w:rFonts w:ascii="Aptos" w:hAnsi="Aptos" w:cs="Times New Roman"/>
          <w:b/>
          <w:bCs/>
          <w:color w:val="000000"/>
          <w:kern w:val="0"/>
          <w:u w:val="single"/>
          <w14:ligatures w14:val="none"/>
        </w:rPr>
      </w:pPr>
    </w:p>
    <w:p w14:paraId="0612103A" w14:textId="5FCC215E" w:rsidR="001E07B5" w:rsidRPr="001E07B5" w:rsidRDefault="001E07B5" w:rsidP="00680110">
      <w:pPr>
        <w:spacing w:after="0" w:line="240" w:lineRule="auto"/>
        <w:rPr>
          <w:rFonts w:ascii="Aptos" w:hAnsi="Aptos" w:cs="Times New Roman"/>
          <w:b/>
          <w:bCs/>
          <w:color w:val="000000"/>
          <w:kern w:val="0"/>
          <w14:ligatures w14:val="none"/>
        </w:rPr>
      </w:pPr>
      <w:r w:rsidRPr="001E07B5">
        <w:rPr>
          <w:rFonts w:ascii="Aptos" w:hAnsi="Aptos" w:cs="Times New Roman"/>
          <w:b/>
          <w:bCs/>
          <w:color w:val="000000"/>
          <w:kern w:val="0"/>
          <w14:ligatures w14:val="none"/>
        </w:rPr>
        <w:t xml:space="preserve">April </w:t>
      </w:r>
      <w:r w:rsidR="007C677E">
        <w:rPr>
          <w:rFonts w:ascii="Aptos" w:hAnsi="Aptos" w:cs="Times New Roman"/>
          <w:b/>
          <w:bCs/>
          <w:color w:val="000000"/>
          <w:kern w:val="0"/>
          <w14:ligatures w14:val="none"/>
        </w:rPr>
        <w:t>30</w:t>
      </w:r>
      <w:r w:rsidRPr="001E07B5">
        <w:rPr>
          <w:rFonts w:ascii="Aptos" w:hAnsi="Aptos" w:cs="Times New Roman"/>
          <w:b/>
          <w:bCs/>
          <w:color w:val="000000"/>
          <w:kern w:val="0"/>
          <w14:ligatures w14:val="none"/>
        </w:rPr>
        <w:t>, 2026</w:t>
      </w:r>
    </w:p>
    <w:p w14:paraId="204B2F4C"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7F623E50" w14:textId="77777777" w:rsidR="00680110" w:rsidRPr="0061340A" w:rsidRDefault="00680110" w:rsidP="00680110">
      <w:pPr>
        <w:spacing w:after="0" w:line="240" w:lineRule="auto"/>
        <w:rPr>
          <w:rFonts w:ascii="Times New Roman" w:eastAsia="Times New Roman" w:hAnsi="Times New Roman" w:cs="Times New Roman"/>
          <w:kern w:val="0"/>
          <w14:ligatures w14:val="none"/>
        </w:rPr>
      </w:pPr>
      <w:r w:rsidRPr="0061340A">
        <w:rPr>
          <w:rFonts w:ascii="Aptos" w:eastAsia="Times New Roman" w:hAnsi="Aptos" w:cs="Times New Roman"/>
          <w:b/>
          <w:bCs/>
          <w:color w:val="000000"/>
          <w:kern w:val="0"/>
          <w14:ligatures w14:val="none"/>
        </w:rPr>
        <w:t>Blue Water Bridge (BWB):</w:t>
      </w:r>
    </w:p>
    <w:p w14:paraId="76FD7CBE"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75A784A0"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The direct and measurable losses to BWB are in traffic and toll revenue.</w:t>
      </w:r>
    </w:p>
    <w:p w14:paraId="3697D4DA"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79CD8A3B" w14:textId="27FC3358" w:rsid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The Blue Water Bridge crossings are 49</w:t>
      </w:r>
      <w:r w:rsidR="00DB6602">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Canadian and 5</w:t>
      </w:r>
      <w:r w:rsidR="00DB6602">
        <w:rPr>
          <w:rFonts w:ascii="Aptos" w:hAnsi="Aptos" w:cs="Times New Roman"/>
          <w:color w:val="000000"/>
          <w:kern w:val="0"/>
          <w14:ligatures w14:val="none"/>
        </w:rPr>
        <w:t>1 percent</w:t>
      </w:r>
      <w:r w:rsidRPr="00680110">
        <w:rPr>
          <w:rFonts w:ascii="Aptos" w:hAnsi="Aptos" w:cs="Times New Roman"/>
          <w:color w:val="000000"/>
          <w:kern w:val="0"/>
          <w14:ligatures w14:val="none"/>
        </w:rPr>
        <w:t xml:space="preserve"> Michigan in origin.  The customer base is further broken down by 44</w:t>
      </w:r>
      <w:r w:rsidR="00DB6602">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daily commuter/cross-border business and shoppers and 56</w:t>
      </w:r>
      <w:r w:rsidR="00DB6602">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commercial movement of goods.  At the beginning of 2025</w:t>
      </w:r>
      <w:r w:rsidR="00283CBF">
        <w:rPr>
          <w:rFonts w:ascii="Aptos" w:hAnsi="Aptos" w:cs="Times New Roman"/>
          <w:color w:val="000000"/>
          <w:kern w:val="0"/>
          <w14:ligatures w14:val="none"/>
        </w:rPr>
        <w:t xml:space="preserve">, </w:t>
      </w:r>
      <w:r w:rsidRPr="00680110">
        <w:rPr>
          <w:rFonts w:ascii="Aptos" w:hAnsi="Aptos" w:cs="Times New Roman"/>
          <w:color w:val="000000"/>
          <w:kern w:val="0"/>
          <w14:ligatures w14:val="none"/>
        </w:rPr>
        <w:t xml:space="preserve">BWB passenger traffic began to slowly recover, but the traffic has not yet </w:t>
      </w:r>
      <w:r w:rsidR="00283CBF">
        <w:rPr>
          <w:rFonts w:ascii="Aptos" w:hAnsi="Aptos" w:cs="Times New Roman"/>
          <w:color w:val="000000"/>
          <w:kern w:val="0"/>
          <w14:ligatures w14:val="none"/>
        </w:rPr>
        <w:t>reached</w:t>
      </w:r>
      <w:r w:rsidR="0064577A">
        <w:rPr>
          <w:rFonts w:ascii="Aptos" w:hAnsi="Aptos" w:cs="Times New Roman"/>
          <w:color w:val="000000"/>
          <w:kern w:val="0"/>
          <w14:ligatures w14:val="none"/>
        </w:rPr>
        <w:t xml:space="preserve"> </w:t>
      </w:r>
      <w:r w:rsidRPr="00680110">
        <w:rPr>
          <w:rFonts w:ascii="Aptos" w:hAnsi="Aptos" w:cs="Times New Roman"/>
          <w:color w:val="000000"/>
          <w:kern w:val="0"/>
          <w14:ligatures w14:val="none"/>
        </w:rPr>
        <w:t>pre-pandemic volumes.</w:t>
      </w:r>
    </w:p>
    <w:p w14:paraId="4E86DAD2" w14:textId="77777777" w:rsidR="00283CBF" w:rsidRPr="00680110" w:rsidRDefault="00283CBF" w:rsidP="00680110">
      <w:pPr>
        <w:spacing w:after="0" w:line="240" w:lineRule="auto"/>
        <w:rPr>
          <w:rFonts w:ascii="Times New Roman" w:hAnsi="Times New Roman" w:cs="Times New Roman"/>
          <w:color w:val="000000"/>
          <w:kern w:val="0"/>
          <w14:ligatures w14:val="none"/>
        </w:rPr>
      </w:pPr>
    </w:p>
    <w:p w14:paraId="5D3CEDDF"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The pandemic national border restrictions cost BWB an estimated $5.5 million in lost toll revenue for operations and capital maintenance.</w:t>
      </w:r>
    </w:p>
    <w:p w14:paraId="057E6832"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5D6FF405" w14:textId="5D7EEBF5"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The implementation of border tariffs resulted in the halt of steady double digit traffic increases in 2025 for the Blue Water Bridge crossing, and a further drop in the first quarter of 2026 of 13</w:t>
      </w:r>
      <w:r w:rsidR="0064577A">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in auto traffic and a 10</w:t>
      </w:r>
      <w:r w:rsidR="0064577A">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decline in commercial crossings. The protectionist buy local, buy Canadian</w:t>
      </w:r>
      <w:r w:rsidR="003338A2">
        <w:rPr>
          <w:rFonts w:ascii="Aptos" w:hAnsi="Aptos" w:cs="Times New Roman"/>
          <w:color w:val="000000"/>
          <w:kern w:val="0"/>
          <w14:ligatures w14:val="none"/>
        </w:rPr>
        <w:t xml:space="preserve"> initiative</w:t>
      </w:r>
      <w:r w:rsidRPr="00680110">
        <w:rPr>
          <w:rFonts w:ascii="Aptos" w:hAnsi="Aptos" w:cs="Times New Roman"/>
          <w:color w:val="000000"/>
          <w:kern w:val="0"/>
          <w14:ligatures w14:val="none"/>
        </w:rPr>
        <w:t>, in response to tariff threats or implementation have drastically contracted and curtailed a large percentage of the 44</w:t>
      </w:r>
      <w:r w:rsidR="0064577A">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daily commuter/cross-border shoppers.</w:t>
      </w:r>
    </w:p>
    <w:p w14:paraId="2AF143F3"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7A327615" w14:textId="77777777" w:rsidR="00EE67CD"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This has been a combined loss in traffic and revenue directly to the BWB of approximately 190,400 unrealized crossings for calendar year 2025, and a loss of $3.085 million in toll revenue for support of bridge operations and capital maintenance.</w:t>
      </w:r>
    </w:p>
    <w:p w14:paraId="11FFD73C" w14:textId="77777777" w:rsidR="00EE67CD" w:rsidRDefault="00EE67CD" w:rsidP="00680110">
      <w:pPr>
        <w:spacing w:after="0" w:line="240" w:lineRule="auto"/>
        <w:rPr>
          <w:rFonts w:ascii="Aptos" w:hAnsi="Aptos" w:cs="Times New Roman"/>
          <w:color w:val="000000"/>
          <w:kern w:val="0"/>
          <w14:ligatures w14:val="none"/>
        </w:rPr>
      </w:pPr>
    </w:p>
    <w:p w14:paraId="04C89CD8" w14:textId="7CE90208"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xml:space="preserve"> (source: BWB &amp; public traffic and revenue statistics)</w:t>
      </w:r>
    </w:p>
    <w:p w14:paraId="1F35BC99"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6B9100E9"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34DCE7DA" w14:textId="77777777" w:rsidR="00680110" w:rsidRPr="00680110" w:rsidRDefault="00680110" w:rsidP="00B44ABE">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Local Economic Impact:</w:t>
      </w:r>
    </w:p>
    <w:p w14:paraId="19B75DC1"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15697BA8" w14:textId="77777777" w:rsidR="00EE67CD"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xml:space="preserve">In the fourth quarter of 2024, Canadian residents spent an average of $851 per trip to the United States, a figure that included $146 for same-day trips and $1,508 for overnight trips. </w:t>
      </w:r>
    </w:p>
    <w:p w14:paraId="1001CF04" w14:textId="77777777" w:rsidR="00EE67CD" w:rsidRDefault="00EE67CD" w:rsidP="00680110">
      <w:pPr>
        <w:spacing w:after="0" w:line="240" w:lineRule="auto"/>
        <w:rPr>
          <w:rFonts w:ascii="Aptos" w:hAnsi="Aptos" w:cs="Times New Roman"/>
          <w:color w:val="000000"/>
          <w:kern w:val="0"/>
          <w14:ligatures w14:val="none"/>
        </w:rPr>
      </w:pPr>
    </w:p>
    <w:p w14:paraId="2A947A80" w14:textId="0AB9ABD5"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(source: </w:t>
      </w:r>
      <w:hyperlink r:id="rId5" w:history="1">
        <w:r w:rsidRPr="00680110">
          <w:rPr>
            <w:rFonts w:ascii="Aptos" w:hAnsi="Aptos" w:cs="Times New Roman"/>
            <w:color w:val="467886"/>
            <w:kern w:val="0"/>
            <w:u w:val="single"/>
            <w14:ligatures w14:val="none"/>
          </w:rPr>
          <w:t>https://www150.statcan.gc.ca/n1/daily-quotidien/250530/dq250530c-eng.htm</w:t>
        </w:r>
      </w:hyperlink>
      <w:r w:rsidRPr="00680110">
        <w:rPr>
          <w:rFonts w:ascii="Aptos" w:hAnsi="Aptos" w:cs="Times New Roman"/>
          <w:color w:val="000000"/>
          <w:kern w:val="0"/>
          <w14:ligatures w14:val="none"/>
        </w:rPr>
        <w:t>)</w:t>
      </w:r>
    </w:p>
    <w:p w14:paraId="1D2C3B9F"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tbl>
      <w:tblPr>
        <w:tblW w:w="13590" w:type="dxa"/>
        <w:tblCellMar>
          <w:left w:w="0" w:type="dxa"/>
          <w:right w:w="0" w:type="dxa"/>
        </w:tblCellMar>
        <w:tblLook w:val="04A0" w:firstRow="1" w:lastRow="0" w:firstColumn="1" w:lastColumn="0" w:noHBand="0" w:noVBand="1"/>
      </w:tblPr>
      <w:tblGrid>
        <w:gridCol w:w="13590"/>
      </w:tblGrid>
      <w:tr w:rsidR="00680110" w:rsidRPr="00680110" w14:paraId="797D1F02" w14:textId="77777777">
        <w:trPr>
          <w:trHeight w:val="312"/>
        </w:trPr>
        <w:tc>
          <w:tcPr>
            <w:tcW w:w="13590" w:type="dxa"/>
            <w:tcMar>
              <w:top w:w="0" w:type="dxa"/>
              <w:left w:w="108" w:type="dxa"/>
              <w:bottom w:w="0" w:type="dxa"/>
              <w:right w:w="108" w:type="dxa"/>
            </w:tcMar>
            <w:vAlign w:val="bottom"/>
            <w:hideMark/>
          </w:tcPr>
          <w:p w14:paraId="44F8024D" w14:textId="77777777" w:rsidR="00680110" w:rsidRPr="00680110" w:rsidRDefault="00680110" w:rsidP="00680110">
            <w:pPr>
              <w:numPr>
                <w:ilvl w:val="0"/>
                <w:numId w:val="2"/>
              </w:numPr>
              <w:spacing w:after="0" w:line="276" w:lineRule="atLeast"/>
              <w:rPr>
                <w:rFonts w:ascii="Aptos" w:eastAsia="Times New Roman" w:hAnsi="Aptos" w:cs="Times New Roman"/>
                <w:color w:val="000000"/>
                <w:kern w:val="0"/>
                <w14:ligatures w14:val="none"/>
              </w:rPr>
            </w:pPr>
            <w:r w:rsidRPr="00680110">
              <w:rPr>
                <w:rFonts w:ascii="Aptos" w:eastAsia="Times New Roman" w:hAnsi="Aptos" w:cs="Times New Roman"/>
                <w:color w:val="000000"/>
                <w:kern w:val="0"/>
                <w14:ligatures w14:val="none"/>
              </w:rPr>
              <w:t>Canadian Spending in the US </w:t>
            </w:r>
          </w:p>
        </w:tc>
      </w:tr>
      <w:tr w:rsidR="00680110" w:rsidRPr="00680110" w14:paraId="4AAA2370" w14:textId="77777777">
        <w:trPr>
          <w:trHeight w:val="312"/>
        </w:trPr>
        <w:tc>
          <w:tcPr>
            <w:tcW w:w="13590" w:type="dxa"/>
            <w:tcMar>
              <w:top w:w="0" w:type="dxa"/>
              <w:left w:w="108" w:type="dxa"/>
              <w:bottom w:w="0" w:type="dxa"/>
              <w:right w:w="108" w:type="dxa"/>
            </w:tcMar>
            <w:vAlign w:val="bottom"/>
            <w:hideMark/>
          </w:tcPr>
          <w:p w14:paraId="501B842A" w14:textId="77777777" w:rsidR="00680110" w:rsidRPr="00680110" w:rsidRDefault="00680110" w:rsidP="00680110">
            <w:pPr>
              <w:numPr>
                <w:ilvl w:val="0"/>
                <w:numId w:val="3"/>
              </w:numPr>
              <w:spacing w:after="0" w:line="276" w:lineRule="atLeast"/>
              <w:rPr>
                <w:rFonts w:ascii="Aptos" w:eastAsia="Times New Roman" w:hAnsi="Aptos" w:cs="Times New Roman"/>
                <w:color w:val="000000"/>
                <w:kern w:val="0"/>
                <w14:ligatures w14:val="none"/>
              </w:rPr>
            </w:pPr>
            <w:r w:rsidRPr="00680110">
              <w:rPr>
                <w:rFonts w:ascii="Aptos" w:eastAsia="Times New Roman" w:hAnsi="Aptos" w:cs="Times New Roman"/>
                <w:color w:val="000000"/>
                <w:kern w:val="0"/>
                <w14:ligatures w14:val="none"/>
              </w:rPr>
              <w:t>Average per trip (Q4 2024): $851</w:t>
            </w:r>
          </w:p>
        </w:tc>
      </w:tr>
    </w:tbl>
    <w:p w14:paraId="7C1E53E7"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3285CB6A"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lastRenderedPageBreak/>
        <w:t>The value in lost Blue Water bridge traffic in 2025 applied to same day cross border trips, based on Customs reported spending declarations, amounted to a local loss of an estimated $211 million.</w:t>
      </w:r>
    </w:p>
    <w:p w14:paraId="51D97D25"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1FA2D3E7"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44A80821" w14:textId="77777777" w:rsidR="00680110" w:rsidRPr="00680110" w:rsidRDefault="00680110" w:rsidP="00E62C0A">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Ambassador Bridge Commercial Traffic</w:t>
      </w:r>
    </w:p>
    <w:p w14:paraId="7D4CB134"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02370238"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To fully realize the impact of the tariffs on the Michigan economy, you must take into consideration the shift of commercial traffic from the Ambassador Bridge in Detroit to the Blue Water Bridge in Port Huron.  It is believed the traffic shift was a result of significantly higher toll rates at the Detroit port of entry.  Additionally, the ports of entry reside approximately 60 miles from one another with I-94 as the connecting interstate. As a result, the Blue Water Bridge is realizing a relatively significant increase in commercial traffic.</w:t>
      </w:r>
    </w:p>
    <w:p w14:paraId="135CC83B"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697A4784" w14:textId="2BC9A2E2"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xml:space="preserve">However, given the diversion of commercial traffic over the last 18 months, you must apply a global lens and combination of traffic statistics from both the Blue Water Bridge and the Ambassador Bridge to determine the impact of tariffs.  When you apply the diversion of traffic to both ports of entry, you see an overall loss in crossings.  It could be determined that the overall loss between the ports of entry is an accurate reflection of the impact of the tariffs.  In 2025, the Ambassador </w:t>
      </w:r>
      <w:r w:rsidR="00A26579">
        <w:rPr>
          <w:rFonts w:ascii="Aptos" w:hAnsi="Aptos" w:cs="Times New Roman"/>
          <w:color w:val="000000"/>
          <w:kern w:val="0"/>
          <w14:ligatures w14:val="none"/>
        </w:rPr>
        <w:t>Bridge</w:t>
      </w:r>
      <w:r w:rsidRPr="00680110">
        <w:rPr>
          <w:rFonts w:ascii="Aptos" w:hAnsi="Aptos" w:cs="Times New Roman"/>
          <w:color w:val="000000"/>
          <w:kern w:val="0"/>
          <w14:ligatures w14:val="none"/>
        </w:rPr>
        <w:t xml:space="preserve"> saw a decline of approximately 422,000 commercial crossings, while the Blue Water Bridge saw an increase of 274,334 commercial crossings for a net loss of 147,411 commercial crossings. </w:t>
      </w:r>
    </w:p>
    <w:p w14:paraId="131679C2"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6049C30B" w14:textId="55194518"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b/>
          <w:bCs/>
          <w:color w:val="000000"/>
          <w:kern w:val="0"/>
          <w14:ligatures w14:val="none"/>
        </w:rPr>
        <w:t>Regional and Commercial Economic Impact</w:t>
      </w:r>
    </w:p>
    <w:p w14:paraId="08CC6659"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247F26A5" w14:textId="77777777" w:rsidR="00680110" w:rsidRDefault="00680110" w:rsidP="00680110">
      <w:pPr>
        <w:spacing w:after="0" w:line="240" w:lineRule="auto"/>
        <w:rPr>
          <w:rFonts w:ascii="Aptos" w:hAnsi="Aptos" w:cs="Times New Roman"/>
          <w:b/>
          <w:bCs/>
          <w:color w:val="000000"/>
          <w:kern w:val="0"/>
          <w14:ligatures w14:val="none"/>
        </w:rPr>
      </w:pPr>
      <w:r w:rsidRPr="00680110">
        <w:rPr>
          <w:rFonts w:ascii="Aptos" w:hAnsi="Aptos" w:cs="Times New Roman"/>
          <w:b/>
          <w:bCs/>
          <w:color w:val="000000"/>
          <w:kern w:val="0"/>
          <w14:ligatures w14:val="none"/>
        </w:rPr>
        <w:t>Michigan Exports:</w:t>
      </w:r>
    </w:p>
    <w:p w14:paraId="6190A669" w14:textId="77777777" w:rsidR="00FE75CB" w:rsidRPr="00680110" w:rsidRDefault="00FE75CB" w:rsidP="00680110">
      <w:pPr>
        <w:spacing w:after="0" w:line="240" w:lineRule="auto"/>
        <w:rPr>
          <w:rFonts w:ascii="Times New Roman" w:hAnsi="Times New Roman" w:cs="Times New Roman"/>
          <w:color w:val="000000"/>
          <w:kern w:val="0"/>
          <w14:ligatures w14:val="none"/>
        </w:rPr>
      </w:pPr>
    </w:p>
    <w:p w14:paraId="3CFA5844" w14:textId="564AF87A"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xml:space="preserve">The lost economic benefit to Michigan from decreased exports and sales to Canada through Port Huron and Detroit is </w:t>
      </w:r>
      <w:r w:rsidR="00AF0832">
        <w:rPr>
          <w:rFonts w:ascii="Aptos" w:hAnsi="Aptos" w:cs="Times New Roman"/>
          <w:color w:val="000000"/>
          <w:kern w:val="0"/>
          <w14:ligatures w14:val="none"/>
        </w:rPr>
        <w:t>$</w:t>
      </w:r>
      <w:r w:rsidRPr="00680110">
        <w:rPr>
          <w:rFonts w:ascii="Aptos" w:hAnsi="Aptos" w:cs="Times New Roman"/>
          <w:color w:val="000000"/>
          <w:kern w:val="0"/>
          <w14:ligatures w14:val="none"/>
        </w:rPr>
        <w:t>5.419 billion.  The Port Huron crossing saw an increase of 6.6</w:t>
      </w:r>
      <w:r w:rsidR="008D35D8">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or </w:t>
      </w:r>
      <w:r w:rsidR="008D35D8">
        <w:rPr>
          <w:rFonts w:ascii="Aptos" w:hAnsi="Aptos" w:cs="Times New Roman"/>
          <w:color w:val="000000"/>
          <w:kern w:val="0"/>
          <w14:ligatures w14:val="none"/>
        </w:rPr>
        <w:t>$</w:t>
      </w:r>
      <w:r w:rsidRPr="00680110">
        <w:rPr>
          <w:rFonts w:ascii="Aptos" w:hAnsi="Aptos" w:cs="Times New Roman"/>
          <w:color w:val="000000"/>
          <w:kern w:val="0"/>
          <w14:ligatures w14:val="none"/>
        </w:rPr>
        <w:t>3.365 billion and the Detroit crossing saw a decrease of 21.1</w:t>
      </w:r>
      <w:r w:rsidR="008D35D8">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or </w:t>
      </w:r>
      <w:r w:rsidR="008D35D8">
        <w:rPr>
          <w:rFonts w:ascii="Aptos" w:hAnsi="Aptos" w:cs="Times New Roman"/>
          <w:color w:val="000000"/>
          <w:kern w:val="0"/>
          <w14:ligatures w14:val="none"/>
        </w:rPr>
        <w:t>$</w:t>
      </w:r>
      <w:r w:rsidRPr="00680110">
        <w:rPr>
          <w:rFonts w:ascii="Aptos" w:hAnsi="Aptos" w:cs="Times New Roman"/>
          <w:color w:val="000000"/>
          <w:kern w:val="0"/>
          <w14:ligatures w14:val="none"/>
        </w:rPr>
        <w:t>8.784 billion.</w:t>
      </w:r>
    </w:p>
    <w:p w14:paraId="6B18F7C0" w14:textId="77777777" w:rsidR="00680110" w:rsidRPr="00680110" w:rsidRDefault="00680110" w:rsidP="00680110">
      <w:pPr>
        <w:spacing w:after="0" w:line="240" w:lineRule="auto"/>
        <w:ind w:left="720"/>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37E572CB"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The top commodity exports reporting the most significant declines in descending order include Vehicles Other than Railway, Computer-Related Machinery and Parts, Electrical Machinery; Equipment and Parts, and Plastics and Articles. </w:t>
      </w:r>
    </w:p>
    <w:p w14:paraId="78719AC0" w14:textId="77777777" w:rsidR="00680110" w:rsidRPr="00680110" w:rsidRDefault="00680110" w:rsidP="00680110">
      <w:pPr>
        <w:spacing w:after="0" w:line="240" w:lineRule="auto"/>
        <w:ind w:left="720"/>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394AC31E"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Commodities from Michigan to Canada at Port Huron have been historically partially or fully assembled goods from Michigan being exported.  A shift in Canadian purchased goods has potential to be significantly negative and long lasting to the area related to the volume of exports and future economic benefit to the State.</w:t>
      </w:r>
    </w:p>
    <w:p w14:paraId="042C2A0C"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2D55C12A"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b/>
          <w:bCs/>
          <w:color w:val="000000"/>
          <w:kern w:val="0"/>
          <w14:ligatures w14:val="none"/>
        </w:rPr>
        <w:t>Michigan Imports:</w:t>
      </w:r>
    </w:p>
    <w:p w14:paraId="4DE02194" w14:textId="4ABC5A2E"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lastRenderedPageBreak/>
        <w:t xml:space="preserve">The decline in goods supplied to Michigan from Canada through Port Huron and Detroit is </w:t>
      </w:r>
      <w:r w:rsidR="008D35D8">
        <w:rPr>
          <w:rFonts w:ascii="Aptos" w:hAnsi="Aptos" w:cs="Times New Roman"/>
          <w:color w:val="000000"/>
          <w:kern w:val="0"/>
          <w14:ligatures w14:val="none"/>
        </w:rPr>
        <w:t>$</w:t>
      </w:r>
      <w:r w:rsidRPr="00680110">
        <w:rPr>
          <w:rFonts w:ascii="Aptos" w:hAnsi="Aptos" w:cs="Times New Roman"/>
          <w:color w:val="000000"/>
          <w:kern w:val="0"/>
          <w14:ligatures w14:val="none"/>
        </w:rPr>
        <w:t>6.954 billion.  The Port Huron crossing saw an increase of 6.3</w:t>
      </w:r>
      <w:r w:rsidR="00AF0832">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or </w:t>
      </w:r>
      <w:r w:rsidR="00DB46DA">
        <w:rPr>
          <w:rFonts w:ascii="Aptos" w:hAnsi="Aptos" w:cs="Times New Roman"/>
          <w:color w:val="000000"/>
          <w:kern w:val="0"/>
          <w14:ligatures w14:val="none"/>
        </w:rPr>
        <w:t>$</w:t>
      </w:r>
      <w:r w:rsidRPr="00680110">
        <w:rPr>
          <w:rFonts w:ascii="Aptos" w:hAnsi="Aptos" w:cs="Times New Roman"/>
          <w:color w:val="000000"/>
          <w:kern w:val="0"/>
          <w14:ligatures w14:val="none"/>
        </w:rPr>
        <w:t>3.707 billion and the Detroit crossing saw a decrease of 16.1</w:t>
      </w:r>
      <w:r w:rsidR="00FE75CB">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or </w:t>
      </w:r>
      <w:r w:rsidR="00DB46DA">
        <w:rPr>
          <w:rFonts w:ascii="Aptos" w:hAnsi="Aptos" w:cs="Times New Roman"/>
          <w:color w:val="000000"/>
          <w:kern w:val="0"/>
          <w14:ligatures w14:val="none"/>
        </w:rPr>
        <w:t>$</w:t>
      </w:r>
      <w:r w:rsidRPr="00680110">
        <w:rPr>
          <w:rFonts w:ascii="Aptos" w:hAnsi="Aptos" w:cs="Times New Roman"/>
          <w:color w:val="000000"/>
          <w:kern w:val="0"/>
          <w14:ligatures w14:val="none"/>
        </w:rPr>
        <w:t>10.661 billion.</w:t>
      </w:r>
    </w:p>
    <w:p w14:paraId="2A7502E2"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65FC62F4"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The top commodity imports reporting the most significant declines in descending order include Vehicles Other than Railway, Computer-Related Machinery and Parts,</w:t>
      </w:r>
    </w:p>
    <w:p w14:paraId="1E6D1617"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Plastics and Articles, and Aluminum and Articles.</w:t>
      </w:r>
    </w:p>
    <w:p w14:paraId="59F535F6"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b/>
          <w:bCs/>
          <w:color w:val="000000"/>
          <w:kern w:val="0"/>
          <w14:ligatures w14:val="none"/>
        </w:rPr>
        <w:t> </w:t>
      </w:r>
    </w:p>
    <w:p w14:paraId="2F2414C1"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(Source:  US DOT Bureau of Transportation Statistics (</w:t>
      </w:r>
      <w:proofErr w:type="spellStart"/>
      <w:r w:rsidRPr="00680110">
        <w:rPr>
          <w:rFonts w:ascii="Aptos" w:hAnsi="Aptos" w:cs="Times New Roman"/>
          <w:color w:val="000000"/>
          <w:kern w:val="0"/>
          <w14:ligatures w14:val="none"/>
        </w:rPr>
        <w:t>Transborder</w:t>
      </w:r>
      <w:proofErr w:type="spellEnd"/>
      <w:r w:rsidRPr="00680110">
        <w:rPr>
          <w:rFonts w:ascii="Aptos" w:hAnsi="Aptos" w:cs="Times New Roman"/>
          <w:color w:val="000000"/>
          <w:kern w:val="0"/>
          <w14:ligatures w14:val="none"/>
        </w:rPr>
        <w:t xml:space="preserve"> Freight Statistics)</w:t>
      </w:r>
    </w:p>
    <w:p w14:paraId="163D09A8" w14:textId="77777777" w:rsidR="00680110" w:rsidRPr="00680110" w:rsidRDefault="00680110" w:rsidP="00680110">
      <w:pPr>
        <w:spacing w:after="0" w:line="240" w:lineRule="auto"/>
        <w:rPr>
          <w:rFonts w:ascii="Times New Roman" w:hAnsi="Times New Roman" w:cs="Times New Roman"/>
          <w:color w:val="000000"/>
          <w:kern w:val="0"/>
          <w14:ligatures w14:val="none"/>
        </w:rPr>
      </w:pPr>
      <w:hyperlink r:id="rId6" w:history="1">
        <w:r w:rsidRPr="00680110">
          <w:rPr>
            <w:rFonts w:ascii="Aptos" w:hAnsi="Aptos" w:cs="Times New Roman"/>
            <w:color w:val="467886"/>
            <w:kern w:val="0"/>
            <w:u w:val="single"/>
            <w14:ligatures w14:val="none"/>
          </w:rPr>
          <w:t>Dashboard | BTS Data Inventory</w:t>
        </w:r>
      </w:hyperlink>
    </w:p>
    <w:p w14:paraId="3EA827D5"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540CD9E3" w14:textId="3A5E132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All data above is for the period of Ja</w:t>
      </w:r>
      <w:r w:rsidR="00DB46DA">
        <w:rPr>
          <w:rFonts w:ascii="Aptos" w:hAnsi="Aptos" w:cs="Times New Roman"/>
          <w:color w:val="000000"/>
          <w:kern w:val="0"/>
          <w14:ligatures w14:val="none"/>
        </w:rPr>
        <w:t>n.</w:t>
      </w:r>
      <w:r w:rsidRPr="00680110">
        <w:rPr>
          <w:rFonts w:ascii="Aptos" w:hAnsi="Aptos" w:cs="Times New Roman"/>
          <w:color w:val="000000"/>
          <w:kern w:val="0"/>
          <w14:ligatures w14:val="none"/>
        </w:rPr>
        <w:t xml:space="preserve"> 1 to Dec</w:t>
      </w:r>
      <w:r w:rsidR="00DB46DA">
        <w:rPr>
          <w:rFonts w:ascii="Aptos" w:hAnsi="Aptos" w:cs="Times New Roman"/>
          <w:color w:val="000000"/>
          <w:kern w:val="0"/>
          <w14:ligatures w14:val="none"/>
        </w:rPr>
        <w:t>.</w:t>
      </w:r>
      <w:r w:rsidRPr="00680110">
        <w:rPr>
          <w:rFonts w:ascii="Aptos" w:hAnsi="Aptos" w:cs="Times New Roman"/>
          <w:color w:val="000000"/>
          <w:kern w:val="0"/>
          <w14:ligatures w14:val="none"/>
        </w:rPr>
        <w:t xml:space="preserve"> 31, 2025, compared to the same period of 2024.</w:t>
      </w:r>
    </w:p>
    <w:p w14:paraId="0C0FCC8F" w14:textId="77777777" w:rsidR="00680110" w:rsidRPr="00680110" w:rsidRDefault="00680110" w:rsidP="00680110">
      <w:pPr>
        <w:spacing w:after="0" w:line="240" w:lineRule="auto"/>
        <w:rPr>
          <w:rFonts w:ascii="Times New Roman" w:hAnsi="Times New Roman" w:cs="Times New Roman"/>
          <w:color w:val="000000"/>
          <w:kern w:val="0"/>
          <w14:ligatures w14:val="none"/>
        </w:rPr>
      </w:pPr>
      <w:r w:rsidRPr="00680110">
        <w:rPr>
          <w:rFonts w:ascii="Aptos" w:hAnsi="Aptos" w:cs="Times New Roman"/>
          <w:color w:val="000000"/>
          <w:kern w:val="0"/>
          <w14:ligatures w14:val="none"/>
        </w:rPr>
        <w:t> </w:t>
      </w:r>
    </w:p>
    <w:p w14:paraId="55273D6D" w14:textId="77777777" w:rsidR="00680110" w:rsidRPr="00651562" w:rsidRDefault="00680110" w:rsidP="00680110">
      <w:pPr>
        <w:spacing w:after="0" w:line="240" w:lineRule="auto"/>
        <w:rPr>
          <w:rFonts w:ascii="Aptos" w:eastAsia="Times New Roman" w:hAnsi="Aptos" w:cs="Times New Roman"/>
          <w:color w:val="000000"/>
          <w:kern w:val="0"/>
          <w14:ligatures w14:val="none"/>
        </w:rPr>
      </w:pPr>
      <w:proofErr w:type="spellStart"/>
      <w:r w:rsidRPr="00651562">
        <w:rPr>
          <w:rFonts w:ascii="Aptos" w:eastAsia="Times New Roman" w:hAnsi="Aptos" w:cs="Times New Roman"/>
          <w:b/>
          <w:bCs/>
          <w:color w:val="000000"/>
          <w:kern w:val="0"/>
          <w14:ligatures w14:val="none"/>
        </w:rPr>
        <w:t>Sault</w:t>
      </w:r>
      <w:proofErr w:type="spellEnd"/>
      <w:r w:rsidRPr="00651562">
        <w:rPr>
          <w:rFonts w:ascii="Aptos" w:eastAsia="Times New Roman" w:hAnsi="Aptos" w:cs="Times New Roman"/>
          <w:b/>
          <w:bCs/>
          <w:color w:val="000000"/>
          <w:kern w:val="0"/>
          <w14:ligatures w14:val="none"/>
        </w:rPr>
        <w:t xml:space="preserve"> </w:t>
      </w:r>
      <w:proofErr w:type="spellStart"/>
      <w:r w:rsidRPr="00651562">
        <w:rPr>
          <w:rFonts w:ascii="Aptos" w:eastAsia="Times New Roman" w:hAnsi="Aptos" w:cs="Times New Roman"/>
          <w:b/>
          <w:bCs/>
          <w:color w:val="000000"/>
          <w:kern w:val="0"/>
          <w14:ligatures w14:val="none"/>
        </w:rPr>
        <w:t>Ste</w:t>
      </w:r>
      <w:proofErr w:type="spellEnd"/>
      <w:r w:rsidRPr="00651562">
        <w:rPr>
          <w:rFonts w:ascii="Aptos" w:eastAsia="Times New Roman" w:hAnsi="Aptos" w:cs="Times New Roman"/>
          <w:b/>
          <w:bCs/>
          <w:color w:val="000000"/>
          <w:kern w:val="0"/>
          <w14:ligatures w14:val="none"/>
        </w:rPr>
        <w:t xml:space="preserve"> Marie International Bridge (IBA):</w:t>
      </w:r>
    </w:p>
    <w:p w14:paraId="5D6C5045" w14:textId="77777777" w:rsidR="00680110" w:rsidRPr="00651562" w:rsidRDefault="00680110" w:rsidP="00680110">
      <w:pPr>
        <w:spacing w:after="0" w:line="240" w:lineRule="auto"/>
        <w:rPr>
          <w:rFonts w:ascii="Aptos" w:hAnsi="Aptos" w:cs="Times New Roman"/>
          <w:color w:val="000000"/>
          <w:kern w:val="0"/>
          <w14:ligatures w14:val="none"/>
        </w:rPr>
      </w:pPr>
      <w:r w:rsidRPr="00651562">
        <w:rPr>
          <w:rFonts w:ascii="Aptos" w:hAnsi="Aptos" w:cs="Times New Roman"/>
          <w:color w:val="000000"/>
          <w:kern w:val="0"/>
          <w14:ligatures w14:val="none"/>
        </w:rPr>
        <w:t> </w:t>
      </w:r>
    </w:p>
    <w:p w14:paraId="1F504075"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The direct and measurable losses to IBA are in traffic and toll revenue.</w:t>
      </w:r>
    </w:p>
    <w:p w14:paraId="64C596BA"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0B344FB1" w14:textId="5FC15BAC" w:rsidR="00680110" w:rsidRDefault="00680110" w:rsidP="00680110">
      <w:pPr>
        <w:spacing w:after="0" w:line="240" w:lineRule="auto"/>
        <w:ind w:left="360"/>
        <w:rPr>
          <w:rFonts w:ascii="Aptos" w:hAnsi="Aptos" w:cs="Times New Roman"/>
          <w:color w:val="000000"/>
          <w:kern w:val="0"/>
          <w14:ligatures w14:val="none"/>
        </w:rPr>
      </w:pP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International Bridge crossings are 80</w:t>
      </w:r>
      <w:r w:rsidR="00DB46DA">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Canadian and 20</w:t>
      </w:r>
      <w:r w:rsidR="00B63053">
        <w:rPr>
          <w:rFonts w:ascii="Aptos" w:hAnsi="Aptos" w:cs="Times New Roman"/>
          <w:color w:val="000000"/>
          <w:kern w:val="0"/>
          <w14:ligatures w14:val="none"/>
        </w:rPr>
        <w:t>percent</w:t>
      </w:r>
      <w:r w:rsidRPr="00680110">
        <w:rPr>
          <w:rFonts w:ascii="Aptos" w:hAnsi="Aptos" w:cs="Times New Roman"/>
          <w:color w:val="000000"/>
          <w:kern w:val="0"/>
          <w14:ligatures w14:val="none"/>
        </w:rPr>
        <w:t xml:space="preserve"> Michigan in origin.  The customer base is further broken down by 80</w:t>
      </w:r>
      <w:r w:rsidR="00B63053">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daily commuter/cross-border business and shoppers.</w:t>
      </w:r>
    </w:p>
    <w:p w14:paraId="0C86DF49" w14:textId="77777777" w:rsidR="00B63053" w:rsidRPr="00680110" w:rsidRDefault="00B63053" w:rsidP="00680110">
      <w:pPr>
        <w:spacing w:after="0" w:line="240" w:lineRule="auto"/>
        <w:ind w:left="360"/>
        <w:rPr>
          <w:rFonts w:ascii="Aptos" w:hAnsi="Aptos" w:cs="Times New Roman"/>
          <w:color w:val="000000"/>
          <w:kern w:val="0"/>
          <w14:ligatures w14:val="none"/>
        </w:rPr>
      </w:pPr>
    </w:p>
    <w:p w14:paraId="243197E4" w14:textId="5120E506" w:rsidR="00680110" w:rsidRPr="00680110" w:rsidRDefault="00680110" w:rsidP="00B63053">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At the beginning of 2025</w:t>
      </w:r>
      <w:r w:rsidR="00B63053">
        <w:rPr>
          <w:rFonts w:ascii="Aptos" w:hAnsi="Aptos" w:cs="Times New Roman"/>
          <w:color w:val="000000"/>
          <w:kern w:val="0"/>
          <w14:ligatures w14:val="none"/>
        </w:rPr>
        <w:t>,</w:t>
      </w:r>
      <w:r w:rsidRPr="00680110">
        <w:rPr>
          <w:rFonts w:ascii="Aptos" w:hAnsi="Aptos" w:cs="Times New Roman"/>
          <w:color w:val="000000"/>
          <w:kern w:val="0"/>
          <w14:ligatures w14:val="none"/>
        </w:rPr>
        <w:t xml:space="preserve"> IBA traffic was slowing continuing to recover, but not yet restored, to pre-pandemic traffic volumes.</w:t>
      </w:r>
      <w:r w:rsidR="00B63053">
        <w:rPr>
          <w:rFonts w:ascii="Aptos" w:hAnsi="Aptos" w:cs="Times New Roman"/>
          <w:color w:val="000000"/>
          <w:kern w:val="0"/>
          <w14:ligatures w14:val="none"/>
        </w:rPr>
        <w:t xml:space="preserve"> T</w:t>
      </w:r>
      <w:r w:rsidRPr="00680110">
        <w:rPr>
          <w:rFonts w:ascii="Aptos" w:hAnsi="Aptos" w:cs="Times New Roman"/>
          <w:color w:val="000000"/>
          <w:kern w:val="0"/>
          <w14:ligatures w14:val="none"/>
        </w:rPr>
        <w:t xml:space="preserve">he pandemic national border restrictions cost IBA and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an estimated $11.5 million in lost toll revenue for operations and capital maintenance.</w:t>
      </w:r>
    </w:p>
    <w:p w14:paraId="1D9CDA6D"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25743DD9" w14:textId="263E6058"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xml:space="preserve">The implementation of border tariffs resulted in the halt in the steady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traffic recovery, and a further drop of 25</w:t>
      </w:r>
      <w:r w:rsidR="00862759">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in auto traffic and a 9</w:t>
      </w:r>
      <w:r w:rsidR="00862759">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decline in commercial crossings. The protectionist buy local, buy Canadian, in response to tariff threats or implementation have drastically contracted and curtailed a large percentage of the 80</w:t>
      </w:r>
      <w:r w:rsidR="00862759">
        <w:rPr>
          <w:rFonts w:ascii="Aptos" w:hAnsi="Aptos" w:cs="Times New Roman"/>
          <w:color w:val="000000"/>
          <w:kern w:val="0"/>
          <w14:ligatures w14:val="none"/>
        </w:rPr>
        <w:t xml:space="preserve"> </w:t>
      </w:r>
      <w:proofErr w:type="spellStart"/>
      <w:r w:rsidR="00862759">
        <w:rPr>
          <w:rFonts w:ascii="Aptos" w:hAnsi="Aptos" w:cs="Times New Roman"/>
          <w:color w:val="000000"/>
          <w:kern w:val="0"/>
          <w14:ligatures w14:val="none"/>
        </w:rPr>
        <w:t>perent</w:t>
      </w:r>
      <w:proofErr w:type="spellEnd"/>
      <w:r w:rsidRPr="00680110">
        <w:rPr>
          <w:rFonts w:ascii="Aptos" w:hAnsi="Aptos" w:cs="Times New Roman"/>
          <w:color w:val="000000"/>
          <w:kern w:val="0"/>
          <w14:ligatures w14:val="none"/>
        </w:rPr>
        <w:t xml:space="preserve"> daily commuter/cross-border shoppers.</w:t>
      </w:r>
    </w:p>
    <w:p w14:paraId="777574C9"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7FE57483" w14:textId="77777777" w:rsidR="00862759"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This has been a combined loss in traffic and revenue directly to the IBA of more than 0.846 million unrealized crossings, and a loss of $3.44 million in toll revenue for support of bridge operations and capital maintenance.</w:t>
      </w:r>
    </w:p>
    <w:p w14:paraId="2BF14BE8" w14:textId="77777777" w:rsidR="00862759" w:rsidRDefault="00862759" w:rsidP="00680110">
      <w:pPr>
        <w:spacing w:after="0" w:line="240" w:lineRule="auto"/>
        <w:ind w:left="360"/>
        <w:rPr>
          <w:rFonts w:ascii="Aptos" w:hAnsi="Aptos" w:cs="Times New Roman"/>
          <w:color w:val="000000"/>
          <w:kern w:val="0"/>
          <w14:ligatures w14:val="none"/>
        </w:rPr>
      </w:pPr>
    </w:p>
    <w:p w14:paraId="700E43BE" w14:textId="20B3C74B"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xml:space="preserve"> (source: IBA &amp; public traffic and revenue statistics)</w:t>
      </w:r>
    </w:p>
    <w:p w14:paraId="6E49D279"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211C4EF1" w14:textId="77777777" w:rsidR="00680110" w:rsidRPr="00680110" w:rsidRDefault="00680110" w:rsidP="00651562">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Fiscal 2025 Expenditures</w:t>
      </w:r>
    </w:p>
    <w:p w14:paraId="560D2514"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1544C94" w14:textId="5E4FB688"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The cost of operations increased by 17.5</w:t>
      </w:r>
      <w:r w:rsidR="0046531F">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above the planned inflationary adjustment for fiscal (calendar) year 2025.  While bridge expenditures remained within approved budgets, operational costs were significantly curtailed due to the cost </w:t>
      </w:r>
      <w:r w:rsidRPr="00680110">
        <w:rPr>
          <w:rFonts w:ascii="Aptos" w:hAnsi="Aptos" w:cs="Times New Roman"/>
          <w:color w:val="000000"/>
          <w:kern w:val="0"/>
          <w14:ligatures w14:val="none"/>
        </w:rPr>
        <w:lastRenderedPageBreak/>
        <w:t>increase of goods and services, only to ensure expenditures remained within approved budgets.  The top six (6) expenditure categories with the most significant increase in costs were (in descending order and percentage change): Bridge &amp; Road Repair +146</w:t>
      </w:r>
      <w:r w:rsidR="0046531F">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Vehicle Repair +75</w:t>
      </w:r>
      <w:r w:rsidR="0046531F">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Building Maintenance +26</w:t>
      </w:r>
      <w:r w:rsidR="0046531F">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Heating &amp; Plumbing Repair +22</w:t>
      </w:r>
      <w:r w:rsidR="0046531F">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and Utilities +8</w:t>
      </w:r>
      <w:r w:rsidR="00B46269">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w:t>
      </w:r>
    </w:p>
    <w:p w14:paraId="2A0A9B37"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73F15176" w14:textId="77777777" w:rsidR="00680110" w:rsidRPr="00680110" w:rsidRDefault="00680110" w:rsidP="00651562">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Local Economic Impact:</w:t>
      </w:r>
    </w:p>
    <w:p w14:paraId="0BCF1CD3"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23916EFF"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Narrow" w:hAnsi="Aptos Narrow" w:cs="Times New Roman"/>
          <w:color w:val="000000"/>
          <w:kern w:val="0"/>
          <w14:ligatures w14:val="none"/>
        </w:rPr>
        <w:t>In the fourth quarter of 2024, Canadian residents spent an average of $851 per trip to the United States, a figure that included $146 for same-day trips and $1,508 for overnight trips. (source: </w:t>
      </w:r>
      <w:hyperlink r:id="rId7" w:history="1">
        <w:r w:rsidRPr="00680110">
          <w:rPr>
            <w:rFonts w:ascii="Aptos Narrow" w:hAnsi="Aptos Narrow" w:cs="Times New Roman"/>
            <w:color w:val="467886"/>
            <w:kern w:val="0"/>
            <w:u w:val="single"/>
            <w14:ligatures w14:val="none"/>
          </w:rPr>
          <w:t>https://www150.statcan.gc.ca/n1/daily-quotidien/250530/dq250530c-eng.htm</w:t>
        </w:r>
      </w:hyperlink>
      <w:r w:rsidRPr="00680110">
        <w:rPr>
          <w:rFonts w:ascii="Aptos Narrow" w:hAnsi="Aptos Narrow" w:cs="Times New Roman"/>
          <w:color w:val="000000"/>
          <w:kern w:val="0"/>
          <w14:ligatures w14:val="none"/>
        </w:rPr>
        <w:t>)</w:t>
      </w:r>
    </w:p>
    <w:p w14:paraId="1D5BE3C9"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tbl>
      <w:tblPr>
        <w:tblW w:w="13590" w:type="dxa"/>
        <w:tblInd w:w="360" w:type="dxa"/>
        <w:tblCellMar>
          <w:left w:w="0" w:type="dxa"/>
          <w:right w:w="0" w:type="dxa"/>
        </w:tblCellMar>
        <w:tblLook w:val="04A0" w:firstRow="1" w:lastRow="0" w:firstColumn="1" w:lastColumn="0" w:noHBand="0" w:noVBand="1"/>
      </w:tblPr>
      <w:tblGrid>
        <w:gridCol w:w="13590"/>
      </w:tblGrid>
      <w:tr w:rsidR="00680110" w:rsidRPr="00680110" w14:paraId="198A314A" w14:textId="77777777">
        <w:trPr>
          <w:trHeight w:val="312"/>
        </w:trPr>
        <w:tc>
          <w:tcPr>
            <w:tcW w:w="13590" w:type="dxa"/>
            <w:tcMar>
              <w:top w:w="0" w:type="dxa"/>
              <w:left w:w="108" w:type="dxa"/>
              <w:bottom w:w="0" w:type="dxa"/>
              <w:right w:w="108" w:type="dxa"/>
            </w:tcMar>
            <w:vAlign w:val="bottom"/>
            <w:hideMark/>
          </w:tcPr>
          <w:p w14:paraId="693E63DE" w14:textId="77777777" w:rsidR="00680110" w:rsidRPr="00680110" w:rsidRDefault="00680110" w:rsidP="00680110">
            <w:pPr>
              <w:numPr>
                <w:ilvl w:val="0"/>
                <w:numId w:val="7"/>
              </w:numPr>
              <w:spacing w:after="0" w:line="240" w:lineRule="auto"/>
              <w:rPr>
                <w:rFonts w:ascii="Aptos" w:eastAsia="Times New Roman" w:hAnsi="Aptos" w:cs="Times New Roman"/>
                <w:color w:val="000000"/>
                <w:kern w:val="0"/>
                <w14:ligatures w14:val="none"/>
              </w:rPr>
            </w:pPr>
            <w:r w:rsidRPr="00680110">
              <w:rPr>
                <w:rFonts w:ascii="Aptos Narrow" w:eastAsia="Times New Roman" w:hAnsi="Aptos Narrow" w:cs="Times New Roman"/>
                <w:color w:val="000000"/>
                <w:kern w:val="0"/>
                <w14:ligatures w14:val="none"/>
              </w:rPr>
              <w:t>Canadian Spending in the US </w:t>
            </w:r>
          </w:p>
        </w:tc>
      </w:tr>
      <w:tr w:rsidR="00680110" w:rsidRPr="00680110" w14:paraId="1E6B2A75" w14:textId="77777777">
        <w:trPr>
          <w:trHeight w:val="312"/>
        </w:trPr>
        <w:tc>
          <w:tcPr>
            <w:tcW w:w="13590" w:type="dxa"/>
            <w:tcMar>
              <w:top w:w="0" w:type="dxa"/>
              <w:left w:w="108" w:type="dxa"/>
              <w:bottom w:w="0" w:type="dxa"/>
              <w:right w:w="108" w:type="dxa"/>
            </w:tcMar>
            <w:vAlign w:val="bottom"/>
            <w:hideMark/>
          </w:tcPr>
          <w:p w14:paraId="65919E1A" w14:textId="77777777" w:rsidR="00680110" w:rsidRPr="00680110" w:rsidRDefault="00680110" w:rsidP="00680110">
            <w:pPr>
              <w:numPr>
                <w:ilvl w:val="0"/>
                <w:numId w:val="8"/>
              </w:numPr>
              <w:spacing w:after="0" w:line="240" w:lineRule="auto"/>
              <w:rPr>
                <w:rFonts w:ascii="Aptos" w:eastAsia="Times New Roman" w:hAnsi="Aptos" w:cs="Times New Roman"/>
                <w:color w:val="000000"/>
                <w:kern w:val="0"/>
                <w14:ligatures w14:val="none"/>
              </w:rPr>
            </w:pPr>
            <w:r w:rsidRPr="00680110">
              <w:rPr>
                <w:rFonts w:ascii="Aptos Narrow" w:eastAsia="Times New Roman" w:hAnsi="Aptos Narrow" w:cs="Times New Roman"/>
                <w:color w:val="000000"/>
                <w:kern w:val="0"/>
                <w14:ligatures w14:val="none"/>
              </w:rPr>
              <w:t>Average per trip (Q4 2024): $851</w:t>
            </w:r>
          </w:p>
        </w:tc>
      </w:tr>
      <w:tr w:rsidR="00680110" w:rsidRPr="00680110" w14:paraId="49ED42A5" w14:textId="77777777">
        <w:trPr>
          <w:trHeight w:val="312"/>
        </w:trPr>
        <w:tc>
          <w:tcPr>
            <w:tcW w:w="13590" w:type="dxa"/>
            <w:tcMar>
              <w:top w:w="0" w:type="dxa"/>
              <w:left w:w="108" w:type="dxa"/>
              <w:bottom w:w="0" w:type="dxa"/>
              <w:right w:w="108" w:type="dxa"/>
            </w:tcMar>
            <w:vAlign w:val="bottom"/>
            <w:hideMark/>
          </w:tcPr>
          <w:p w14:paraId="10488A45" w14:textId="77777777" w:rsidR="00680110" w:rsidRPr="00680110" w:rsidRDefault="00680110" w:rsidP="00680110">
            <w:pPr>
              <w:numPr>
                <w:ilvl w:val="0"/>
                <w:numId w:val="9"/>
              </w:numPr>
              <w:spacing w:after="0" w:line="240" w:lineRule="auto"/>
              <w:rPr>
                <w:rFonts w:ascii="Aptos" w:eastAsia="Times New Roman" w:hAnsi="Aptos" w:cs="Times New Roman"/>
                <w:color w:val="000000"/>
                <w:kern w:val="0"/>
                <w14:ligatures w14:val="none"/>
              </w:rPr>
            </w:pPr>
            <w:r w:rsidRPr="00680110">
              <w:rPr>
                <w:rFonts w:ascii="Aptos Narrow" w:eastAsia="Times New Roman" w:hAnsi="Aptos Narrow" w:cs="Times New Roman"/>
                <w:color w:val="000000"/>
                <w:kern w:val="0"/>
                <w14:ligatures w14:val="none"/>
              </w:rPr>
              <w:t>Average for same-day trips (Q4 2024): $146</w:t>
            </w:r>
          </w:p>
        </w:tc>
      </w:tr>
      <w:tr w:rsidR="00680110" w:rsidRPr="00680110" w14:paraId="00C82AC3" w14:textId="77777777">
        <w:trPr>
          <w:trHeight w:val="312"/>
        </w:trPr>
        <w:tc>
          <w:tcPr>
            <w:tcW w:w="13590" w:type="dxa"/>
            <w:tcMar>
              <w:top w:w="0" w:type="dxa"/>
              <w:left w:w="108" w:type="dxa"/>
              <w:bottom w:w="0" w:type="dxa"/>
              <w:right w:w="108" w:type="dxa"/>
            </w:tcMar>
            <w:vAlign w:val="bottom"/>
            <w:hideMark/>
          </w:tcPr>
          <w:p w14:paraId="2E229C05" w14:textId="77777777" w:rsidR="00680110" w:rsidRPr="00680110" w:rsidRDefault="00680110" w:rsidP="00680110">
            <w:pPr>
              <w:numPr>
                <w:ilvl w:val="0"/>
                <w:numId w:val="10"/>
              </w:numPr>
              <w:spacing w:after="0" w:line="240" w:lineRule="auto"/>
              <w:rPr>
                <w:rFonts w:ascii="Aptos" w:eastAsia="Times New Roman" w:hAnsi="Aptos" w:cs="Times New Roman"/>
                <w:color w:val="000000"/>
                <w:kern w:val="0"/>
                <w14:ligatures w14:val="none"/>
              </w:rPr>
            </w:pPr>
            <w:r w:rsidRPr="00680110">
              <w:rPr>
                <w:rFonts w:ascii="Aptos Narrow" w:eastAsia="Times New Roman" w:hAnsi="Aptos Narrow" w:cs="Times New Roman"/>
                <w:color w:val="000000"/>
                <w:kern w:val="0"/>
                <w14:ligatures w14:val="none"/>
              </w:rPr>
              <w:t>Average for overnight trips (Q4 2024): $1,508</w:t>
            </w:r>
          </w:p>
        </w:tc>
      </w:tr>
      <w:tr w:rsidR="00680110" w:rsidRPr="00680110" w14:paraId="6A19C708" w14:textId="77777777">
        <w:trPr>
          <w:trHeight w:val="312"/>
        </w:trPr>
        <w:tc>
          <w:tcPr>
            <w:tcW w:w="13590" w:type="dxa"/>
            <w:tcMar>
              <w:top w:w="0" w:type="dxa"/>
              <w:left w:w="108" w:type="dxa"/>
              <w:bottom w:w="0" w:type="dxa"/>
              <w:right w:w="108" w:type="dxa"/>
            </w:tcMar>
            <w:vAlign w:val="bottom"/>
            <w:hideMark/>
          </w:tcPr>
          <w:p w14:paraId="1A1D1E22" w14:textId="77777777" w:rsidR="00680110" w:rsidRPr="00680110" w:rsidRDefault="00680110" w:rsidP="00680110">
            <w:pPr>
              <w:numPr>
                <w:ilvl w:val="0"/>
                <w:numId w:val="11"/>
              </w:numPr>
              <w:spacing w:after="0" w:line="240" w:lineRule="auto"/>
              <w:rPr>
                <w:rFonts w:ascii="Aptos" w:eastAsia="Times New Roman" w:hAnsi="Aptos" w:cs="Times New Roman"/>
                <w:color w:val="000000"/>
                <w:kern w:val="0"/>
                <w14:ligatures w14:val="none"/>
              </w:rPr>
            </w:pPr>
            <w:r w:rsidRPr="00680110">
              <w:rPr>
                <w:rFonts w:ascii="Aptos Narrow" w:eastAsia="Times New Roman" w:hAnsi="Aptos Narrow" w:cs="Times New Roman"/>
                <w:color w:val="000000"/>
                <w:kern w:val="0"/>
                <w14:ligatures w14:val="none"/>
              </w:rPr>
              <w:t>Key spending categories (Q4 2024): Accommodations (36.0%) and restaurants/bars (19.5%).</w:t>
            </w:r>
          </w:p>
        </w:tc>
      </w:tr>
    </w:tbl>
    <w:p w14:paraId="79F56A96"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706FB92"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xml:space="preserve">The value in lost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bridge traffic in 2025 applied to same day cross border trips, based on Customs reported spending declarations, amounted to a local loss of $62.7 million broken down as follows:</w:t>
      </w:r>
    </w:p>
    <w:p w14:paraId="41EDEC47" w14:textId="77777777"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 </w:t>
      </w:r>
    </w:p>
    <w:tbl>
      <w:tblPr>
        <w:tblW w:w="7176" w:type="dxa"/>
        <w:tblInd w:w="972" w:type="dxa"/>
        <w:tblCellMar>
          <w:left w:w="0" w:type="dxa"/>
          <w:right w:w="0" w:type="dxa"/>
        </w:tblCellMar>
        <w:tblLook w:val="04A0" w:firstRow="1" w:lastRow="0" w:firstColumn="1" w:lastColumn="0" w:noHBand="0" w:noVBand="1"/>
      </w:tblPr>
      <w:tblGrid>
        <w:gridCol w:w="1360"/>
        <w:gridCol w:w="2438"/>
        <w:gridCol w:w="2419"/>
        <w:gridCol w:w="959"/>
      </w:tblGrid>
      <w:tr w:rsidR="00680110" w:rsidRPr="00680110" w14:paraId="4564B232" w14:textId="77777777">
        <w:trPr>
          <w:trHeight w:val="312"/>
        </w:trPr>
        <w:tc>
          <w:tcPr>
            <w:tcW w:w="3798" w:type="dxa"/>
            <w:gridSpan w:val="2"/>
            <w:tcMar>
              <w:top w:w="0" w:type="dxa"/>
              <w:left w:w="108" w:type="dxa"/>
              <w:bottom w:w="0" w:type="dxa"/>
              <w:right w:w="108" w:type="dxa"/>
            </w:tcMar>
            <w:vAlign w:val="bottom"/>
            <w:hideMark/>
          </w:tcPr>
          <w:p w14:paraId="5F8E2A45"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 </w:t>
            </w:r>
          </w:p>
        </w:tc>
        <w:tc>
          <w:tcPr>
            <w:tcW w:w="2419" w:type="dxa"/>
            <w:tcMar>
              <w:top w:w="0" w:type="dxa"/>
              <w:left w:w="108" w:type="dxa"/>
              <w:bottom w:w="0" w:type="dxa"/>
              <w:right w:w="108" w:type="dxa"/>
            </w:tcMar>
            <w:vAlign w:val="bottom"/>
            <w:hideMark/>
          </w:tcPr>
          <w:p w14:paraId="6BF88808" w14:textId="77777777"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u w:val="single"/>
                <w14:ligatures w14:val="none"/>
              </w:rPr>
              <w:t>Economic Loss (Millions $)</w:t>
            </w:r>
          </w:p>
        </w:tc>
        <w:tc>
          <w:tcPr>
            <w:tcW w:w="959" w:type="dxa"/>
            <w:tcMar>
              <w:top w:w="0" w:type="dxa"/>
              <w:left w:w="108" w:type="dxa"/>
              <w:bottom w:w="0" w:type="dxa"/>
              <w:right w:w="108" w:type="dxa"/>
            </w:tcMar>
            <w:vAlign w:val="bottom"/>
            <w:hideMark/>
          </w:tcPr>
          <w:p w14:paraId="38879B7C" w14:textId="77777777"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u w:val="single"/>
                <w14:ligatures w14:val="none"/>
              </w:rPr>
              <w:t>Percent Change</w:t>
            </w:r>
          </w:p>
        </w:tc>
      </w:tr>
      <w:tr w:rsidR="00680110" w:rsidRPr="00680110" w14:paraId="2C0BAEC1" w14:textId="77777777">
        <w:trPr>
          <w:trHeight w:val="312"/>
        </w:trPr>
        <w:tc>
          <w:tcPr>
            <w:tcW w:w="3798" w:type="dxa"/>
            <w:gridSpan w:val="2"/>
            <w:tcMar>
              <w:top w:w="0" w:type="dxa"/>
              <w:left w:w="108" w:type="dxa"/>
              <w:bottom w:w="0" w:type="dxa"/>
              <w:right w:w="108" w:type="dxa"/>
            </w:tcMar>
            <w:vAlign w:val="bottom"/>
            <w:hideMark/>
          </w:tcPr>
          <w:p w14:paraId="43151350"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 </w:t>
            </w:r>
          </w:p>
          <w:p w14:paraId="1A92B42A"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Accommodations</w:t>
            </w:r>
          </w:p>
        </w:tc>
        <w:tc>
          <w:tcPr>
            <w:tcW w:w="2419" w:type="dxa"/>
            <w:tcMar>
              <w:top w:w="0" w:type="dxa"/>
              <w:left w:w="108" w:type="dxa"/>
              <w:bottom w:w="0" w:type="dxa"/>
              <w:right w:w="108" w:type="dxa"/>
            </w:tcMar>
            <w:vAlign w:val="bottom"/>
            <w:hideMark/>
          </w:tcPr>
          <w:p w14:paraId="09166968"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(22.589)</w:t>
            </w:r>
          </w:p>
        </w:tc>
        <w:tc>
          <w:tcPr>
            <w:tcW w:w="959" w:type="dxa"/>
            <w:tcMar>
              <w:top w:w="0" w:type="dxa"/>
              <w:left w:w="108" w:type="dxa"/>
              <w:bottom w:w="0" w:type="dxa"/>
              <w:right w:w="108" w:type="dxa"/>
            </w:tcMar>
            <w:vAlign w:val="bottom"/>
            <w:hideMark/>
          </w:tcPr>
          <w:p w14:paraId="3BD66C76" w14:textId="331A64C9"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14:ligatures w14:val="none"/>
              </w:rPr>
              <w:t>36.0</w:t>
            </w:r>
          </w:p>
        </w:tc>
      </w:tr>
      <w:tr w:rsidR="00680110" w:rsidRPr="00680110" w14:paraId="251E3A5B" w14:textId="77777777">
        <w:trPr>
          <w:trHeight w:val="312"/>
        </w:trPr>
        <w:tc>
          <w:tcPr>
            <w:tcW w:w="3798" w:type="dxa"/>
            <w:gridSpan w:val="2"/>
            <w:tcMar>
              <w:top w:w="0" w:type="dxa"/>
              <w:left w:w="108" w:type="dxa"/>
              <w:bottom w:w="0" w:type="dxa"/>
              <w:right w:w="108" w:type="dxa"/>
            </w:tcMar>
            <w:vAlign w:val="bottom"/>
            <w:hideMark/>
          </w:tcPr>
          <w:p w14:paraId="573BEB51"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Restaurants / Bars</w:t>
            </w:r>
          </w:p>
        </w:tc>
        <w:tc>
          <w:tcPr>
            <w:tcW w:w="2419" w:type="dxa"/>
            <w:tcMar>
              <w:top w:w="0" w:type="dxa"/>
              <w:left w:w="108" w:type="dxa"/>
              <w:bottom w:w="0" w:type="dxa"/>
              <w:right w:w="108" w:type="dxa"/>
            </w:tcMar>
            <w:vAlign w:val="bottom"/>
            <w:hideMark/>
          </w:tcPr>
          <w:p w14:paraId="30BF6E06"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(12.236)</w:t>
            </w:r>
          </w:p>
        </w:tc>
        <w:tc>
          <w:tcPr>
            <w:tcW w:w="959" w:type="dxa"/>
            <w:tcMar>
              <w:top w:w="0" w:type="dxa"/>
              <w:left w:w="108" w:type="dxa"/>
              <w:bottom w:w="0" w:type="dxa"/>
              <w:right w:w="108" w:type="dxa"/>
            </w:tcMar>
            <w:vAlign w:val="bottom"/>
            <w:hideMark/>
          </w:tcPr>
          <w:p w14:paraId="3AECAFBA" w14:textId="169943A5"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14:ligatures w14:val="none"/>
              </w:rPr>
              <w:t>19.5</w:t>
            </w:r>
          </w:p>
        </w:tc>
      </w:tr>
      <w:tr w:rsidR="00680110" w:rsidRPr="00680110" w14:paraId="6A9ED1C2" w14:textId="77777777">
        <w:trPr>
          <w:trHeight w:val="312"/>
        </w:trPr>
        <w:tc>
          <w:tcPr>
            <w:tcW w:w="1360" w:type="dxa"/>
            <w:tcMar>
              <w:top w:w="0" w:type="dxa"/>
              <w:left w:w="108" w:type="dxa"/>
              <w:bottom w:w="0" w:type="dxa"/>
              <w:right w:w="108" w:type="dxa"/>
            </w:tcMar>
            <w:vAlign w:val="bottom"/>
            <w:hideMark/>
          </w:tcPr>
          <w:p w14:paraId="13B168FD" w14:textId="77777777" w:rsidR="00680110" w:rsidRPr="00680110" w:rsidRDefault="00680110" w:rsidP="00680110">
            <w:pPr>
              <w:spacing w:after="0" w:line="240" w:lineRule="auto"/>
              <w:rPr>
                <w:rFonts w:ascii="Aptos" w:hAnsi="Aptos" w:cs="Times New Roman"/>
                <w:kern w:val="0"/>
                <w14:ligatures w14:val="none"/>
              </w:rPr>
            </w:pPr>
          </w:p>
        </w:tc>
        <w:tc>
          <w:tcPr>
            <w:tcW w:w="2438" w:type="dxa"/>
            <w:tcMar>
              <w:top w:w="0" w:type="dxa"/>
              <w:left w:w="108" w:type="dxa"/>
              <w:bottom w:w="0" w:type="dxa"/>
              <w:right w:w="108" w:type="dxa"/>
            </w:tcMar>
            <w:vAlign w:val="bottom"/>
            <w:hideMark/>
          </w:tcPr>
          <w:p w14:paraId="181560AB" w14:textId="77777777" w:rsidR="00680110" w:rsidRPr="00680110" w:rsidRDefault="00680110" w:rsidP="00680110">
            <w:pPr>
              <w:spacing w:after="0" w:line="240" w:lineRule="auto"/>
              <w:rPr>
                <w:rFonts w:ascii="Times New Roman" w:eastAsia="Times New Roman" w:hAnsi="Times New Roman" w:cs="Times New Roman"/>
                <w:kern w:val="0"/>
                <w:sz w:val="20"/>
                <w:szCs w:val="20"/>
                <w14:ligatures w14:val="none"/>
              </w:rPr>
            </w:pPr>
          </w:p>
        </w:tc>
        <w:tc>
          <w:tcPr>
            <w:tcW w:w="2419" w:type="dxa"/>
            <w:tcBorders>
              <w:top w:val="single" w:sz="8" w:space="0" w:color="auto"/>
              <w:left w:val="nil"/>
              <w:bottom w:val="nil"/>
              <w:right w:val="nil"/>
            </w:tcBorders>
            <w:tcMar>
              <w:top w:w="0" w:type="dxa"/>
              <w:left w:w="108" w:type="dxa"/>
              <w:bottom w:w="0" w:type="dxa"/>
              <w:right w:w="108" w:type="dxa"/>
            </w:tcMar>
            <w:vAlign w:val="bottom"/>
            <w:hideMark/>
          </w:tcPr>
          <w:p w14:paraId="072A40CA"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w:t>
            </w:r>
          </w:p>
        </w:tc>
        <w:tc>
          <w:tcPr>
            <w:tcW w:w="959" w:type="dxa"/>
            <w:tcMar>
              <w:top w:w="0" w:type="dxa"/>
              <w:left w:w="108" w:type="dxa"/>
              <w:bottom w:w="0" w:type="dxa"/>
              <w:right w:w="108" w:type="dxa"/>
            </w:tcMar>
            <w:vAlign w:val="bottom"/>
            <w:hideMark/>
          </w:tcPr>
          <w:p w14:paraId="7B042F7D" w14:textId="77777777" w:rsidR="00680110" w:rsidRPr="00680110" w:rsidRDefault="00680110" w:rsidP="00680110">
            <w:pPr>
              <w:spacing w:after="0" w:line="240" w:lineRule="auto"/>
              <w:rPr>
                <w:rFonts w:ascii="Aptos" w:hAnsi="Aptos" w:cs="Times New Roman"/>
                <w:kern w:val="0"/>
                <w14:ligatures w14:val="none"/>
              </w:rPr>
            </w:pPr>
          </w:p>
        </w:tc>
      </w:tr>
      <w:tr w:rsidR="00680110" w:rsidRPr="00680110" w14:paraId="04EBCD94" w14:textId="77777777">
        <w:trPr>
          <w:trHeight w:val="312"/>
        </w:trPr>
        <w:tc>
          <w:tcPr>
            <w:tcW w:w="3798" w:type="dxa"/>
            <w:gridSpan w:val="2"/>
            <w:tcMar>
              <w:top w:w="0" w:type="dxa"/>
              <w:left w:w="108" w:type="dxa"/>
              <w:bottom w:w="0" w:type="dxa"/>
              <w:right w:w="108" w:type="dxa"/>
            </w:tcMar>
            <w:vAlign w:val="bottom"/>
            <w:hideMark/>
          </w:tcPr>
          <w:p w14:paraId="69E1E959"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Hotels, Restaurants &amp; Bars</w:t>
            </w:r>
          </w:p>
        </w:tc>
        <w:tc>
          <w:tcPr>
            <w:tcW w:w="2419" w:type="dxa"/>
            <w:tcMar>
              <w:top w:w="0" w:type="dxa"/>
              <w:left w:w="108" w:type="dxa"/>
              <w:bottom w:w="0" w:type="dxa"/>
              <w:right w:w="108" w:type="dxa"/>
            </w:tcMar>
            <w:vAlign w:val="bottom"/>
            <w:hideMark/>
          </w:tcPr>
          <w:p w14:paraId="1AC1EE6D"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(34.825)</w:t>
            </w:r>
          </w:p>
        </w:tc>
        <w:tc>
          <w:tcPr>
            <w:tcW w:w="959" w:type="dxa"/>
            <w:tcMar>
              <w:top w:w="0" w:type="dxa"/>
              <w:left w:w="108" w:type="dxa"/>
              <w:bottom w:w="0" w:type="dxa"/>
              <w:right w:w="108" w:type="dxa"/>
            </w:tcMar>
            <w:vAlign w:val="bottom"/>
            <w:hideMark/>
          </w:tcPr>
          <w:p w14:paraId="1CE47F13" w14:textId="10C4D581"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14:ligatures w14:val="none"/>
              </w:rPr>
              <w:t>55.5</w:t>
            </w:r>
          </w:p>
        </w:tc>
      </w:tr>
      <w:tr w:rsidR="00680110" w:rsidRPr="00680110" w14:paraId="1C218D99" w14:textId="77777777">
        <w:trPr>
          <w:trHeight w:val="312"/>
        </w:trPr>
        <w:tc>
          <w:tcPr>
            <w:tcW w:w="3798" w:type="dxa"/>
            <w:gridSpan w:val="2"/>
            <w:tcMar>
              <w:top w:w="0" w:type="dxa"/>
              <w:left w:w="108" w:type="dxa"/>
              <w:bottom w:w="0" w:type="dxa"/>
              <w:right w:w="108" w:type="dxa"/>
            </w:tcMar>
            <w:vAlign w:val="bottom"/>
            <w:hideMark/>
          </w:tcPr>
          <w:p w14:paraId="653A59CA"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Retail, Events, Other</w:t>
            </w:r>
          </w:p>
        </w:tc>
        <w:tc>
          <w:tcPr>
            <w:tcW w:w="2419" w:type="dxa"/>
            <w:tcBorders>
              <w:top w:val="nil"/>
              <w:left w:val="nil"/>
              <w:bottom w:val="single" w:sz="8" w:space="0" w:color="auto"/>
              <w:right w:val="nil"/>
            </w:tcBorders>
            <w:tcMar>
              <w:top w:w="0" w:type="dxa"/>
              <w:left w:w="108" w:type="dxa"/>
              <w:bottom w:w="0" w:type="dxa"/>
              <w:right w:w="108" w:type="dxa"/>
            </w:tcMar>
            <w:vAlign w:val="bottom"/>
            <w:hideMark/>
          </w:tcPr>
          <w:p w14:paraId="0A938EFA"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(27.92)</w:t>
            </w:r>
          </w:p>
        </w:tc>
        <w:tc>
          <w:tcPr>
            <w:tcW w:w="959" w:type="dxa"/>
            <w:tcMar>
              <w:top w:w="0" w:type="dxa"/>
              <w:left w:w="108" w:type="dxa"/>
              <w:bottom w:w="0" w:type="dxa"/>
              <w:right w:w="108" w:type="dxa"/>
            </w:tcMar>
            <w:vAlign w:val="bottom"/>
            <w:hideMark/>
          </w:tcPr>
          <w:p w14:paraId="59E0B235" w14:textId="6A3F710E" w:rsidR="00680110" w:rsidRPr="00680110" w:rsidRDefault="00680110" w:rsidP="00680110">
            <w:pPr>
              <w:spacing w:after="0" w:line="240" w:lineRule="auto"/>
              <w:jc w:val="center"/>
              <w:rPr>
                <w:rFonts w:ascii="Aptos" w:hAnsi="Aptos" w:cs="Times New Roman"/>
                <w:kern w:val="0"/>
                <w14:ligatures w14:val="none"/>
              </w:rPr>
            </w:pPr>
            <w:r w:rsidRPr="00680110">
              <w:rPr>
                <w:rFonts w:ascii="Aptos Narrow" w:hAnsi="Aptos Narrow" w:cs="Times New Roman"/>
                <w:color w:val="000000"/>
                <w:kern w:val="0"/>
                <w14:ligatures w14:val="none"/>
              </w:rPr>
              <w:t>44.5</w:t>
            </w:r>
          </w:p>
        </w:tc>
      </w:tr>
      <w:tr w:rsidR="00680110" w:rsidRPr="00680110" w14:paraId="234272A2" w14:textId="77777777">
        <w:trPr>
          <w:trHeight w:val="312"/>
        </w:trPr>
        <w:tc>
          <w:tcPr>
            <w:tcW w:w="1360" w:type="dxa"/>
            <w:tcMar>
              <w:top w:w="0" w:type="dxa"/>
              <w:left w:w="108" w:type="dxa"/>
              <w:bottom w:w="0" w:type="dxa"/>
              <w:right w:w="108" w:type="dxa"/>
            </w:tcMar>
            <w:vAlign w:val="bottom"/>
            <w:hideMark/>
          </w:tcPr>
          <w:p w14:paraId="4E41E11A" w14:textId="77777777" w:rsidR="00680110" w:rsidRPr="00680110" w:rsidRDefault="00680110" w:rsidP="00680110">
            <w:pPr>
              <w:spacing w:after="0" w:line="240" w:lineRule="auto"/>
              <w:rPr>
                <w:rFonts w:ascii="Aptos" w:hAnsi="Aptos" w:cs="Times New Roman"/>
                <w:kern w:val="0"/>
                <w14:ligatures w14:val="none"/>
              </w:rPr>
            </w:pPr>
          </w:p>
        </w:tc>
        <w:tc>
          <w:tcPr>
            <w:tcW w:w="2438" w:type="dxa"/>
            <w:tcMar>
              <w:top w:w="0" w:type="dxa"/>
              <w:left w:w="108" w:type="dxa"/>
              <w:bottom w:w="0" w:type="dxa"/>
              <w:right w:w="108" w:type="dxa"/>
            </w:tcMar>
            <w:vAlign w:val="bottom"/>
            <w:hideMark/>
          </w:tcPr>
          <w:p w14:paraId="506576F7" w14:textId="77777777" w:rsidR="00680110" w:rsidRPr="00680110" w:rsidRDefault="00680110" w:rsidP="00680110">
            <w:pPr>
              <w:spacing w:after="0" w:line="240" w:lineRule="auto"/>
              <w:rPr>
                <w:rFonts w:ascii="Times New Roman" w:eastAsia="Times New Roman" w:hAnsi="Times New Roman" w:cs="Times New Roman"/>
                <w:kern w:val="0"/>
                <w:sz w:val="20"/>
                <w:szCs w:val="20"/>
                <w14:ligatures w14:val="none"/>
              </w:rPr>
            </w:pPr>
          </w:p>
        </w:tc>
        <w:tc>
          <w:tcPr>
            <w:tcW w:w="2419" w:type="dxa"/>
            <w:tcMar>
              <w:top w:w="0" w:type="dxa"/>
              <w:left w:w="108" w:type="dxa"/>
              <w:bottom w:w="0" w:type="dxa"/>
              <w:right w:w="108" w:type="dxa"/>
            </w:tcMar>
            <w:vAlign w:val="bottom"/>
            <w:hideMark/>
          </w:tcPr>
          <w:p w14:paraId="5F91B75F"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w:t>
            </w:r>
          </w:p>
        </w:tc>
        <w:tc>
          <w:tcPr>
            <w:tcW w:w="959" w:type="dxa"/>
            <w:tcMar>
              <w:top w:w="0" w:type="dxa"/>
              <w:left w:w="108" w:type="dxa"/>
              <w:bottom w:w="0" w:type="dxa"/>
              <w:right w:w="108" w:type="dxa"/>
            </w:tcMar>
            <w:vAlign w:val="bottom"/>
            <w:hideMark/>
          </w:tcPr>
          <w:p w14:paraId="7434A8F3" w14:textId="77777777" w:rsidR="00680110" w:rsidRPr="00680110" w:rsidRDefault="00680110" w:rsidP="00680110">
            <w:pPr>
              <w:spacing w:after="0" w:line="240" w:lineRule="auto"/>
              <w:rPr>
                <w:rFonts w:ascii="Aptos" w:hAnsi="Aptos" w:cs="Times New Roman"/>
                <w:kern w:val="0"/>
                <w14:ligatures w14:val="none"/>
              </w:rPr>
            </w:pPr>
          </w:p>
        </w:tc>
      </w:tr>
      <w:tr w:rsidR="00680110" w:rsidRPr="00680110" w14:paraId="4B11410E" w14:textId="77777777">
        <w:trPr>
          <w:trHeight w:val="324"/>
        </w:trPr>
        <w:tc>
          <w:tcPr>
            <w:tcW w:w="3798" w:type="dxa"/>
            <w:gridSpan w:val="2"/>
            <w:tcMar>
              <w:top w:w="0" w:type="dxa"/>
              <w:left w:w="108" w:type="dxa"/>
              <w:bottom w:w="0" w:type="dxa"/>
              <w:right w:w="108" w:type="dxa"/>
            </w:tcMar>
            <w:vAlign w:val="bottom"/>
            <w:hideMark/>
          </w:tcPr>
          <w:p w14:paraId="47346A2C" w14:textId="77777777" w:rsidR="00680110" w:rsidRPr="00680110" w:rsidRDefault="00680110" w:rsidP="00680110">
            <w:pPr>
              <w:spacing w:after="0" w:line="240" w:lineRule="auto"/>
              <w:rPr>
                <w:rFonts w:ascii="Aptos" w:hAnsi="Aptos" w:cs="Times New Roman"/>
                <w:kern w:val="0"/>
                <w14:ligatures w14:val="none"/>
              </w:rPr>
            </w:pPr>
            <w:r w:rsidRPr="00680110">
              <w:rPr>
                <w:rFonts w:ascii="Aptos Narrow" w:hAnsi="Aptos Narrow" w:cs="Times New Roman"/>
                <w:color w:val="000000"/>
                <w:kern w:val="0"/>
                <w14:ligatures w14:val="none"/>
              </w:rPr>
              <w:t>Total Economic Loss (</w:t>
            </w:r>
            <w:proofErr w:type="spellStart"/>
            <w:r w:rsidRPr="00680110">
              <w:rPr>
                <w:rFonts w:ascii="Aptos Narrow" w:hAnsi="Aptos Narrow" w:cs="Times New Roman"/>
                <w:color w:val="000000"/>
                <w:kern w:val="0"/>
                <w14:ligatures w14:val="none"/>
              </w:rPr>
              <w:t>Sault</w:t>
            </w:r>
            <w:proofErr w:type="spellEnd"/>
            <w:r w:rsidRPr="00680110">
              <w:rPr>
                <w:rFonts w:ascii="Aptos Narrow" w:hAnsi="Aptos Narrow" w:cs="Times New Roman"/>
                <w:color w:val="000000"/>
                <w:kern w:val="0"/>
                <w14:ligatures w14:val="none"/>
              </w:rPr>
              <w:t xml:space="preserve"> Ste Marie, Michigan)</w:t>
            </w:r>
          </w:p>
        </w:tc>
        <w:tc>
          <w:tcPr>
            <w:tcW w:w="2419" w:type="dxa"/>
            <w:tcBorders>
              <w:top w:val="nil"/>
              <w:left w:val="nil"/>
              <w:bottom w:val="double" w:sz="6" w:space="0" w:color="auto"/>
              <w:right w:val="nil"/>
            </w:tcBorders>
            <w:tcMar>
              <w:top w:w="0" w:type="dxa"/>
              <w:left w:w="108" w:type="dxa"/>
              <w:bottom w:w="0" w:type="dxa"/>
              <w:right w:w="108" w:type="dxa"/>
            </w:tcMar>
            <w:vAlign w:val="bottom"/>
            <w:hideMark/>
          </w:tcPr>
          <w:p w14:paraId="40D9F21A" w14:textId="77777777" w:rsidR="00680110" w:rsidRPr="00680110" w:rsidRDefault="00680110" w:rsidP="00680110">
            <w:pPr>
              <w:spacing w:after="0" w:line="240" w:lineRule="auto"/>
              <w:jc w:val="right"/>
              <w:rPr>
                <w:rFonts w:ascii="Aptos" w:hAnsi="Aptos" w:cs="Times New Roman"/>
                <w:kern w:val="0"/>
                <w14:ligatures w14:val="none"/>
              </w:rPr>
            </w:pPr>
            <w:r w:rsidRPr="00680110">
              <w:rPr>
                <w:rFonts w:ascii="Aptos Narrow" w:hAnsi="Aptos Narrow" w:cs="Times New Roman"/>
                <w:color w:val="000000"/>
                <w:kern w:val="0"/>
                <w14:ligatures w14:val="none"/>
              </w:rPr>
              <w:t>$                  (62.748)</w:t>
            </w:r>
          </w:p>
        </w:tc>
        <w:tc>
          <w:tcPr>
            <w:tcW w:w="959" w:type="dxa"/>
            <w:tcMar>
              <w:top w:w="0" w:type="dxa"/>
              <w:left w:w="108" w:type="dxa"/>
              <w:bottom w:w="0" w:type="dxa"/>
              <w:right w:w="108" w:type="dxa"/>
            </w:tcMar>
            <w:vAlign w:val="bottom"/>
            <w:hideMark/>
          </w:tcPr>
          <w:p w14:paraId="04299A4D" w14:textId="77777777" w:rsidR="00680110" w:rsidRPr="00680110" w:rsidRDefault="00680110" w:rsidP="00680110">
            <w:pPr>
              <w:spacing w:after="0" w:line="240" w:lineRule="auto"/>
              <w:rPr>
                <w:rFonts w:ascii="Aptos" w:hAnsi="Aptos" w:cs="Times New Roman"/>
                <w:kern w:val="0"/>
                <w14:ligatures w14:val="none"/>
              </w:rPr>
            </w:pPr>
          </w:p>
        </w:tc>
      </w:tr>
    </w:tbl>
    <w:p w14:paraId="6FF9A20E"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6CAE979"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416BA07F" w14:textId="77777777" w:rsidR="00680110" w:rsidRPr="00680110" w:rsidRDefault="00680110" w:rsidP="00651562">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Regional and Commercial Economic Impact:</w:t>
      </w:r>
    </w:p>
    <w:p w14:paraId="58F9044C"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6426C17B"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b/>
          <w:bCs/>
          <w:color w:val="000000"/>
          <w:kern w:val="0"/>
          <w14:ligatures w14:val="none"/>
        </w:rPr>
        <w:t>Michigan Exports:</w:t>
      </w:r>
    </w:p>
    <w:p w14:paraId="3DD97EC6"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xml:space="preserve">The lost economic benefit to Michigan from decreased exports and sales to Canada through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can be broken down by truck and rail as follows.</w:t>
      </w:r>
    </w:p>
    <w:p w14:paraId="5BE14BC4" w14:textId="3F09B5D8"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Bridge traffic and commercial truck exports decreased 11.7</w:t>
      </w:r>
      <w:r w:rsidR="00CF5AB3">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down $99 million, from $842.4 to $743.4 million.  Rail decreased from $143.5 to $26.5, a decline of 81.5</w:t>
      </w:r>
      <w:r w:rsidR="00CF5AB3">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w:t>
      </w:r>
    </w:p>
    <w:p w14:paraId="6D24963C"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lastRenderedPageBreak/>
        <w:t>The combined loss, including other modes of commercial transportation was a net loss of Northern Michigan exports of $194.4 million, from $994.6 million in 2024 to $800.2 million in 2025.</w:t>
      </w:r>
    </w:p>
    <w:p w14:paraId="2FA47B8D"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4249E86"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The top commodity exports reporting the most significant declines in descending order include: Computer-related Machinery &amp; Parts, Plastics, Electrical Machinery, Wood, Paper and Paperboard products.</w:t>
      </w:r>
    </w:p>
    <w:p w14:paraId="1BE24D67"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3C03046"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xml:space="preserve">Commodities from Michigan to Canada at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have been historically partially or fully assembled goods from Michigan being exported.  A shift in Canadian purchased goods has potential to be significantly negative and long lasting to the area related to the volume of exports and future economic benefit to the State.</w:t>
      </w:r>
    </w:p>
    <w:p w14:paraId="0F08CEB1"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FEE06EF"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b/>
          <w:bCs/>
          <w:color w:val="000000"/>
          <w:kern w:val="0"/>
          <w14:ligatures w14:val="none"/>
        </w:rPr>
        <w:t>Michigan Imports:</w:t>
      </w:r>
    </w:p>
    <w:p w14:paraId="498CE63A" w14:textId="0A0B8C58" w:rsid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xml:space="preserve">The decline in goods supplied to Michigan from Canada through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 is a drop of 38.6</w:t>
      </w:r>
      <w:r w:rsidR="00CF5AB3">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mostly in raw materials for the manufacturing industry in decreasing order are:  Iron, Steel, Wood, Computer Machinery, Vehicles, Aluminum, Stones &amp; Metals.</w:t>
      </w:r>
    </w:p>
    <w:p w14:paraId="266843D3" w14:textId="77777777" w:rsidR="00CF5AB3" w:rsidRPr="00680110" w:rsidRDefault="00CF5AB3" w:rsidP="00680110">
      <w:pPr>
        <w:spacing w:after="0" w:line="240" w:lineRule="auto"/>
        <w:ind w:left="720"/>
        <w:rPr>
          <w:rFonts w:ascii="Aptos" w:hAnsi="Aptos" w:cs="Times New Roman"/>
          <w:color w:val="000000"/>
          <w:kern w:val="0"/>
          <w14:ligatures w14:val="none"/>
        </w:rPr>
      </w:pPr>
    </w:p>
    <w:p w14:paraId="3D690C06" w14:textId="77777777" w:rsidR="00680110" w:rsidRPr="00680110" w:rsidRDefault="00680110" w:rsidP="00680110">
      <w:pPr>
        <w:spacing w:after="0" w:line="240" w:lineRule="auto"/>
        <w:ind w:left="720"/>
        <w:rPr>
          <w:rFonts w:ascii="Aptos" w:hAnsi="Aptos" w:cs="Times New Roman"/>
          <w:color w:val="000000"/>
          <w:kern w:val="0"/>
          <w14:ligatures w14:val="none"/>
        </w:rPr>
      </w:pPr>
      <w:r w:rsidRPr="00680110">
        <w:rPr>
          <w:rFonts w:ascii="Aptos" w:hAnsi="Aptos" w:cs="Times New Roman"/>
          <w:color w:val="000000"/>
          <w:kern w:val="0"/>
          <w14:ligatures w14:val="none"/>
        </w:rPr>
        <w:t xml:space="preserve">The drop in commercial truck was from $1.067B to $828.6 million – a decline of $238.4 million or 22.3%.  Rail volumes dropped $256.2 million, from $664 million in 2024 to $407.8 million.  The combined decline of materials to Michigan industry is $479 million or a drop of 26.5%.  By comparison, the collected average tariff collected on the materials that were imported amounted to approximately $131.8 million, based on the prevailing tariff and commodities imported at </w:t>
      </w:r>
      <w:proofErr w:type="spellStart"/>
      <w:r w:rsidRPr="00680110">
        <w:rPr>
          <w:rFonts w:ascii="Aptos" w:hAnsi="Aptos" w:cs="Times New Roman"/>
          <w:color w:val="000000"/>
          <w:kern w:val="0"/>
          <w14:ligatures w14:val="none"/>
        </w:rPr>
        <w:t>Sault</w:t>
      </w:r>
      <w:proofErr w:type="spellEnd"/>
      <w:r w:rsidRPr="00680110">
        <w:rPr>
          <w:rFonts w:ascii="Aptos" w:hAnsi="Aptos" w:cs="Times New Roman"/>
          <w:color w:val="000000"/>
          <w:kern w:val="0"/>
          <w14:ligatures w14:val="none"/>
        </w:rPr>
        <w:t xml:space="preserve"> </w:t>
      </w:r>
      <w:proofErr w:type="spellStart"/>
      <w:r w:rsidRPr="00680110">
        <w:rPr>
          <w:rFonts w:ascii="Aptos" w:hAnsi="Aptos" w:cs="Times New Roman"/>
          <w:color w:val="000000"/>
          <w:kern w:val="0"/>
          <w14:ligatures w14:val="none"/>
        </w:rPr>
        <w:t>Ste</w:t>
      </w:r>
      <w:proofErr w:type="spellEnd"/>
      <w:r w:rsidRPr="00680110">
        <w:rPr>
          <w:rFonts w:ascii="Aptos" w:hAnsi="Aptos" w:cs="Times New Roman"/>
          <w:color w:val="000000"/>
          <w:kern w:val="0"/>
          <w14:ligatures w14:val="none"/>
        </w:rPr>
        <w:t xml:space="preserve"> Marie.</w:t>
      </w:r>
    </w:p>
    <w:p w14:paraId="01FF0A91" w14:textId="77777777" w:rsidR="00680110" w:rsidRPr="00680110" w:rsidRDefault="00680110" w:rsidP="00680110">
      <w:pPr>
        <w:spacing w:after="0" w:line="240" w:lineRule="auto"/>
        <w:ind w:left="144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3044FB9F" w14:textId="77777777" w:rsidR="00680110" w:rsidRPr="00680110" w:rsidRDefault="00680110" w:rsidP="00680110">
      <w:pPr>
        <w:spacing w:after="0" w:line="240" w:lineRule="auto"/>
        <w:ind w:left="1440"/>
        <w:rPr>
          <w:rFonts w:ascii="Aptos" w:hAnsi="Aptos" w:cs="Times New Roman"/>
          <w:color w:val="000000"/>
          <w:kern w:val="0"/>
          <w14:ligatures w14:val="none"/>
        </w:rPr>
      </w:pPr>
      <w:r w:rsidRPr="00680110">
        <w:rPr>
          <w:rFonts w:ascii="Aptos" w:hAnsi="Aptos" w:cs="Times New Roman"/>
          <w:color w:val="000000"/>
          <w:kern w:val="0"/>
          <w14:ligatures w14:val="none"/>
        </w:rPr>
        <w:t>(Source:  US DOT Bureau of Transportation Statistics (</w:t>
      </w:r>
      <w:proofErr w:type="spellStart"/>
      <w:r w:rsidRPr="00680110">
        <w:rPr>
          <w:rFonts w:ascii="Aptos" w:hAnsi="Aptos" w:cs="Times New Roman"/>
          <w:color w:val="000000"/>
          <w:kern w:val="0"/>
          <w14:ligatures w14:val="none"/>
        </w:rPr>
        <w:t>Transborder</w:t>
      </w:r>
      <w:proofErr w:type="spellEnd"/>
      <w:r w:rsidRPr="00680110">
        <w:rPr>
          <w:rFonts w:ascii="Aptos" w:hAnsi="Aptos" w:cs="Times New Roman"/>
          <w:color w:val="000000"/>
          <w:kern w:val="0"/>
          <w14:ligatures w14:val="none"/>
        </w:rPr>
        <w:t xml:space="preserve"> Freight Statistics)</w:t>
      </w:r>
    </w:p>
    <w:p w14:paraId="6175DD47" w14:textId="77777777" w:rsidR="00680110" w:rsidRPr="00680110" w:rsidRDefault="00680110" w:rsidP="00680110">
      <w:pPr>
        <w:spacing w:after="0" w:line="240" w:lineRule="auto"/>
        <w:ind w:left="1440"/>
        <w:rPr>
          <w:rFonts w:ascii="Aptos" w:hAnsi="Aptos" w:cs="Times New Roman"/>
          <w:color w:val="000000"/>
          <w:kern w:val="0"/>
          <w14:ligatures w14:val="none"/>
        </w:rPr>
      </w:pPr>
      <w:hyperlink r:id="rId8" w:history="1">
        <w:r w:rsidRPr="00680110">
          <w:rPr>
            <w:rFonts w:ascii="Aptos" w:hAnsi="Aptos" w:cs="Times New Roman"/>
            <w:color w:val="467886"/>
            <w:kern w:val="0"/>
            <w:u w:val="single"/>
            <w14:ligatures w14:val="none"/>
          </w:rPr>
          <w:t>Dashboard | BTS Data Inventory</w:t>
        </w:r>
      </w:hyperlink>
    </w:p>
    <w:p w14:paraId="01B6C776" w14:textId="77777777" w:rsidR="00680110" w:rsidRPr="00680110" w:rsidRDefault="00680110" w:rsidP="00680110">
      <w:pPr>
        <w:spacing w:after="0" w:line="240" w:lineRule="auto"/>
        <w:ind w:left="1440"/>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5C0EA519" w14:textId="6260F7FB" w:rsidR="00680110" w:rsidRPr="00680110" w:rsidRDefault="00680110" w:rsidP="00680110">
      <w:pPr>
        <w:spacing w:after="0" w:line="240" w:lineRule="auto"/>
        <w:ind w:left="1440"/>
        <w:rPr>
          <w:rFonts w:ascii="Aptos" w:hAnsi="Aptos" w:cs="Times New Roman"/>
          <w:color w:val="000000"/>
          <w:kern w:val="0"/>
          <w14:ligatures w14:val="none"/>
        </w:rPr>
      </w:pPr>
      <w:r w:rsidRPr="00680110">
        <w:rPr>
          <w:rFonts w:ascii="Aptos" w:hAnsi="Aptos" w:cs="Times New Roman"/>
          <w:color w:val="000000"/>
          <w:kern w:val="0"/>
          <w14:ligatures w14:val="none"/>
        </w:rPr>
        <w:t>All data above is for the period of Jan</w:t>
      </w:r>
      <w:r w:rsidR="000B226A">
        <w:rPr>
          <w:rFonts w:ascii="Aptos" w:hAnsi="Aptos" w:cs="Times New Roman"/>
          <w:color w:val="000000"/>
          <w:kern w:val="0"/>
          <w14:ligatures w14:val="none"/>
        </w:rPr>
        <w:t>.</w:t>
      </w:r>
      <w:r w:rsidRPr="00680110">
        <w:rPr>
          <w:rFonts w:ascii="Aptos" w:hAnsi="Aptos" w:cs="Times New Roman"/>
          <w:color w:val="000000"/>
          <w:kern w:val="0"/>
          <w14:ligatures w14:val="none"/>
        </w:rPr>
        <w:t xml:space="preserve"> 1 to Dec</w:t>
      </w:r>
      <w:r w:rsidR="000B226A">
        <w:rPr>
          <w:rFonts w:ascii="Aptos" w:hAnsi="Aptos" w:cs="Times New Roman"/>
          <w:color w:val="000000"/>
          <w:kern w:val="0"/>
          <w14:ligatures w14:val="none"/>
        </w:rPr>
        <w:t>.</w:t>
      </w:r>
      <w:r w:rsidRPr="00680110">
        <w:rPr>
          <w:rFonts w:ascii="Aptos" w:hAnsi="Aptos" w:cs="Times New Roman"/>
          <w:color w:val="000000"/>
          <w:kern w:val="0"/>
          <w14:ligatures w14:val="none"/>
        </w:rPr>
        <w:t xml:space="preserve"> 31, 2025, compared to the same period of 2024.</w:t>
      </w:r>
    </w:p>
    <w:p w14:paraId="38E0A8DF"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b/>
          <w:bCs/>
          <w:color w:val="000000"/>
          <w:kern w:val="0"/>
          <w14:ligatures w14:val="none"/>
        </w:rPr>
        <w:t> </w:t>
      </w:r>
    </w:p>
    <w:p w14:paraId="1DBB3600" w14:textId="77777777" w:rsidR="00680110" w:rsidRPr="00680110" w:rsidRDefault="00680110" w:rsidP="00651562">
      <w:pPr>
        <w:spacing w:after="0" w:line="240" w:lineRule="auto"/>
        <w:rPr>
          <w:rFonts w:ascii="Aptos" w:eastAsia="Times New Roman" w:hAnsi="Aptos" w:cs="Times New Roman"/>
          <w:color w:val="000000"/>
          <w:kern w:val="0"/>
          <w14:ligatures w14:val="none"/>
        </w:rPr>
      </w:pPr>
      <w:r w:rsidRPr="00680110">
        <w:rPr>
          <w:rFonts w:ascii="Aptos" w:eastAsia="Times New Roman" w:hAnsi="Aptos" w:cs="Times New Roman"/>
          <w:b/>
          <w:bCs/>
          <w:color w:val="000000"/>
          <w:kern w:val="0"/>
          <w14:ligatures w14:val="none"/>
        </w:rPr>
        <w:t>2026 IBA Toll Revenue Outlook</w:t>
      </w:r>
    </w:p>
    <w:p w14:paraId="32136050"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2C62AD63" w14:textId="2C5C5902" w:rsidR="00680110" w:rsidRPr="00680110" w:rsidRDefault="00680110" w:rsidP="00680110">
      <w:pPr>
        <w:spacing w:after="0" w:line="240" w:lineRule="auto"/>
        <w:ind w:left="360"/>
        <w:rPr>
          <w:rFonts w:ascii="Aptos" w:hAnsi="Aptos" w:cs="Times New Roman"/>
          <w:color w:val="000000"/>
          <w:kern w:val="0"/>
          <w14:ligatures w14:val="none"/>
        </w:rPr>
      </w:pPr>
      <w:r w:rsidRPr="00680110">
        <w:rPr>
          <w:rFonts w:ascii="Aptos" w:hAnsi="Aptos" w:cs="Times New Roman"/>
          <w:color w:val="000000"/>
          <w:kern w:val="0"/>
          <w14:ligatures w14:val="none"/>
        </w:rPr>
        <w:t>The updated forecast for bridge traffic and toll revenue for calendar year 2026 is a further decline in bridge traffic, with an expected decline of 11.3</w:t>
      </w:r>
      <w:r w:rsidR="000B226A">
        <w:rPr>
          <w:rFonts w:ascii="Aptos" w:hAnsi="Aptos" w:cs="Times New Roman"/>
          <w:color w:val="000000"/>
          <w:kern w:val="0"/>
          <w14:ligatures w14:val="none"/>
        </w:rPr>
        <w:t xml:space="preserve"> percent</w:t>
      </w:r>
      <w:r w:rsidRPr="00680110">
        <w:rPr>
          <w:rFonts w:ascii="Aptos" w:hAnsi="Aptos" w:cs="Times New Roman"/>
          <w:color w:val="000000"/>
          <w:kern w:val="0"/>
          <w14:ligatures w14:val="none"/>
        </w:rPr>
        <w:t xml:space="preserve"> from the reduced 2025 volumes.  Applied to original budget to newly forecasted revenues, the loss for 2026 is expected to be an additional $4.3 million, for combined 2-year toll revenue loss of $7.6 million.</w:t>
      </w:r>
    </w:p>
    <w:p w14:paraId="60A27E03" w14:textId="77777777" w:rsidR="00680110" w:rsidRPr="00680110" w:rsidRDefault="00680110" w:rsidP="00680110">
      <w:pPr>
        <w:spacing w:after="0" w:line="240" w:lineRule="auto"/>
        <w:rPr>
          <w:rFonts w:ascii="Aptos" w:hAnsi="Aptos" w:cs="Times New Roman"/>
          <w:color w:val="000000"/>
          <w:kern w:val="0"/>
          <w14:ligatures w14:val="none"/>
        </w:rPr>
      </w:pPr>
      <w:r w:rsidRPr="00680110">
        <w:rPr>
          <w:rFonts w:ascii="Aptos" w:hAnsi="Aptos" w:cs="Times New Roman"/>
          <w:color w:val="000000"/>
          <w:kern w:val="0"/>
          <w14:ligatures w14:val="none"/>
        </w:rPr>
        <w:t> </w:t>
      </w:r>
    </w:p>
    <w:p w14:paraId="777AFA93" w14:textId="77777777" w:rsidR="00680110" w:rsidRDefault="00680110"/>
    <w:sectPr w:rsidR="00680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3ED"/>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040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52027"/>
    <w:multiLevelType w:val="multilevel"/>
    <w:tmpl w:val="FFFFFFFF"/>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F533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77E7C"/>
    <w:multiLevelType w:val="multilevel"/>
    <w:tmpl w:val="FFFFFFFF"/>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20428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6022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23D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0409D"/>
    <w:multiLevelType w:val="multilevel"/>
    <w:tmpl w:val="FFFFFFFF"/>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C71C5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6118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E937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F22A5B"/>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0592630">
    <w:abstractNumId w:val="5"/>
  </w:num>
  <w:num w:numId="2" w16cid:durableId="1694918713">
    <w:abstractNumId w:val="7"/>
  </w:num>
  <w:num w:numId="3" w16cid:durableId="1873155514">
    <w:abstractNumId w:val="3"/>
  </w:num>
  <w:num w:numId="4" w16cid:durableId="546257831">
    <w:abstractNumId w:val="12"/>
  </w:num>
  <w:num w:numId="5" w16cid:durableId="434520541">
    <w:abstractNumId w:val="8"/>
  </w:num>
  <w:num w:numId="6" w16cid:durableId="1604269145">
    <w:abstractNumId w:val="0"/>
  </w:num>
  <w:num w:numId="7" w16cid:durableId="10305768">
    <w:abstractNumId w:val="11"/>
  </w:num>
  <w:num w:numId="8" w16cid:durableId="57751062">
    <w:abstractNumId w:val="10"/>
  </w:num>
  <w:num w:numId="9" w16cid:durableId="82800687">
    <w:abstractNumId w:val="6"/>
  </w:num>
  <w:num w:numId="10" w16cid:durableId="811946704">
    <w:abstractNumId w:val="1"/>
  </w:num>
  <w:num w:numId="11" w16cid:durableId="843977600">
    <w:abstractNumId w:val="9"/>
  </w:num>
  <w:num w:numId="12" w16cid:durableId="526793011">
    <w:abstractNumId w:val="2"/>
  </w:num>
  <w:num w:numId="13" w16cid:durableId="923492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110"/>
    <w:rsid w:val="000B226A"/>
    <w:rsid w:val="001E07B5"/>
    <w:rsid w:val="00210D32"/>
    <w:rsid w:val="00283CBF"/>
    <w:rsid w:val="003338A2"/>
    <w:rsid w:val="003B13D6"/>
    <w:rsid w:val="0046531F"/>
    <w:rsid w:val="005D5815"/>
    <w:rsid w:val="0061340A"/>
    <w:rsid w:val="0064577A"/>
    <w:rsid w:val="006468F8"/>
    <w:rsid w:val="00651562"/>
    <w:rsid w:val="00680110"/>
    <w:rsid w:val="00682BC2"/>
    <w:rsid w:val="007C677E"/>
    <w:rsid w:val="00862759"/>
    <w:rsid w:val="008D35D8"/>
    <w:rsid w:val="00A26579"/>
    <w:rsid w:val="00AC21EC"/>
    <w:rsid w:val="00AF0832"/>
    <w:rsid w:val="00B44ABE"/>
    <w:rsid w:val="00B46269"/>
    <w:rsid w:val="00B63053"/>
    <w:rsid w:val="00CF5AB3"/>
    <w:rsid w:val="00DB46DA"/>
    <w:rsid w:val="00DB6602"/>
    <w:rsid w:val="00E62C0A"/>
    <w:rsid w:val="00EC57F9"/>
    <w:rsid w:val="00EE67CD"/>
    <w:rsid w:val="00FE7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948387"/>
  <w15:chartTrackingRefBased/>
  <w15:docId w15:val="{EF68A213-6811-6747-B97D-8CF33A09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0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110"/>
    <w:rPr>
      <w:rFonts w:eastAsiaTheme="majorEastAsia" w:cstheme="majorBidi"/>
      <w:color w:val="272727" w:themeColor="text1" w:themeTint="D8"/>
    </w:rPr>
  </w:style>
  <w:style w:type="paragraph" w:styleId="Title">
    <w:name w:val="Title"/>
    <w:basedOn w:val="Normal"/>
    <w:next w:val="Normal"/>
    <w:link w:val="TitleChar"/>
    <w:uiPriority w:val="10"/>
    <w:qFormat/>
    <w:rsid w:val="00680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110"/>
    <w:pPr>
      <w:spacing w:before="160"/>
      <w:jc w:val="center"/>
    </w:pPr>
    <w:rPr>
      <w:i/>
      <w:iCs/>
      <w:color w:val="404040" w:themeColor="text1" w:themeTint="BF"/>
    </w:rPr>
  </w:style>
  <w:style w:type="character" w:customStyle="1" w:styleId="QuoteChar">
    <w:name w:val="Quote Char"/>
    <w:basedOn w:val="DefaultParagraphFont"/>
    <w:link w:val="Quote"/>
    <w:uiPriority w:val="29"/>
    <w:rsid w:val="00680110"/>
    <w:rPr>
      <w:i/>
      <w:iCs/>
      <w:color w:val="404040" w:themeColor="text1" w:themeTint="BF"/>
    </w:rPr>
  </w:style>
  <w:style w:type="paragraph" w:styleId="ListParagraph">
    <w:name w:val="List Paragraph"/>
    <w:basedOn w:val="Normal"/>
    <w:uiPriority w:val="34"/>
    <w:qFormat/>
    <w:rsid w:val="00680110"/>
    <w:pPr>
      <w:ind w:left="720"/>
      <w:contextualSpacing/>
    </w:pPr>
  </w:style>
  <w:style w:type="character" w:styleId="IntenseEmphasis">
    <w:name w:val="Intense Emphasis"/>
    <w:basedOn w:val="DefaultParagraphFont"/>
    <w:uiPriority w:val="21"/>
    <w:qFormat/>
    <w:rsid w:val="00680110"/>
    <w:rPr>
      <w:i/>
      <w:iCs/>
      <w:color w:val="0F4761" w:themeColor="accent1" w:themeShade="BF"/>
    </w:rPr>
  </w:style>
  <w:style w:type="paragraph" w:styleId="IntenseQuote">
    <w:name w:val="Intense Quote"/>
    <w:basedOn w:val="Normal"/>
    <w:next w:val="Normal"/>
    <w:link w:val="IntenseQuoteChar"/>
    <w:uiPriority w:val="30"/>
    <w:qFormat/>
    <w:rsid w:val="00680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110"/>
    <w:rPr>
      <w:i/>
      <w:iCs/>
      <w:color w:val="0F4761" w:themeColor="accent1" w:themeShade="BF"/>
    </w:rPr>
  </w:style>
  <w:style w:type="character" w:styleId="IntenseReference">
    <w:name w:val="Intense Reference"/>
    <w:basedOn w:val="DefaultParagraphFont"/>
    <w:uiPriority w:val="32"/>
    <w:qFormat/>
    <w:rsid w:val="00680110"/>
    <w:rPr>
      <w:b/>
      <w:bCs/>
      <w:smallCaps/>
      <w:color w:val="0F4761" w:themeColor="accent1" w:themeShade="BF"/>
      <w:spacing w:val="5"/>
    </w:rPr>
  </w:style>
  <w:style w:type="paragraph" w:styleId="NormalWeb">
    <w:name w:val="Normal (Web)"/>
    <w:basedOn w:val="Normal"/>
    <w:uiPriority w:val="99"/>
    <w:semiHidden/>
    <w:unhideWhenUsed/>
    <w:rsid w:val="00680110"/>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680110"/>
  </w:style>
  <w:style w:type="character" w:styleId="Hyperlink">
    <w:name w:val="Hyperlink"/>
    <w:basedOn w:val="DefaultParagraphFont"/>
    <w:uiPriority w:val="99"/>
    <w:semiHidden/>
    <w:unhideWhenUsed/>
    <w:rsid w:val="006801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data.bts.gov%2Fstories%2Fs%2FDashboard%2Fmyhq-rm6q&amp;data=05%7C02%7CPetainenP%40michigan.gov%7C30189493a1574e52ce6708de9ca8cb87%7Cd5fb7087377742ad966a892ef47225d1%7C0%7C0%7C639120445932079652%7CUnknown%7CTWFpbGZsb3d8eyJFbXB0eU1hcGkiOnRydWUsIlYiOiIwLjAuMDAwMCIsIlAiOiJXaW4zMiIsIkFOIjoiTWFpbCIsIldUIjoyfQ%3D%3D%7C0%7C%7C%7C&amp;sdata=SOuUWMcNkc483VnJjpO1TMIgJ0TJLfLrXpw83EWqKRI%3D&amp;reserved=0" TargetMode="External"/><Relationship Id="rId3" Type="http://schemas.openxmlformats.org/officeDocument/2006/relationships/settings" Target="settings.xml"/><Relationship Id="rId7" Type="http://schemas.openxmlformats.org/officeDocument/2006/relationships/hyperlink" Target="https://gcc02.safelinks.protection.outlook.com/?url=https%3A%2F%2Fwww150.statcan.gc.ca%2Fn1%2Fdaily-quotidien%2F250530%2Fdq250530c-eng.htm&amp;data=05%7C02%7CPetainenP%40michigan.gov%7C30189493a1574e52ce6708de9ca8cb87%7Cd5fb7087377742ad966a892ef47225d1%7C0%7C0%7C639120445932052816%7CUnknown%7CTWFpbGZsb3d8eyJFbXB0eU1hcGkiOnRydWUsIlYiOiIwLjAuMDAwMCIsIlAiOiJXaW4zMiIsIkFOIjoiTWFpbCIsIldUIjoyfQ%3D%3D%7C0%7C%7C%7C&amp;sdata=z3TKhF%2F0pTXTbFS532DqaVJhOUl60BEAk%2BRg94k3qS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cc02.safelinks.protection.outlook.com/?url=https%3A%2F%2Fdata.bts.gov%2Fstories%2Fs%2FDashboard%2Fmyhq-rm6q&amp;data=05%7C02%7CCransonJ%40michigan.gov%7C3fd7a1471fac46898f9408de9fdbfce5%7Cd5fb7087377742ad966a892ef47225d1%7C0%7C0%7C639123965123995997%7CUnknown%7CTWFpbGZsb3d8eyJFbXB0eU1hcGkiOnRydWUsIlYiOiIwLjAuMDAwMCIsIlAiOiJXaW4zMiIsIkFOIjoiTWFpbCIsIldUIjoyfQ%3D%3D%7C0%7C%7C%7C&amp;sdata=YoJUKYzwYdT0JXlMVtUg1yPZSy%2BN8XO%2BL4SKzofwplc%3D&amp;reserved=0" TargetMode="External"/><Relationship Id="rId5" Type="http://schemas.openxmlformats.org/officeDocument/2006/relationships/hyperlink" Target="https://gcc02.safelinks.protection.outlook.com/?url=https%3A%2F%2Fwww150.statcan.gc.ca%2Fn1%2Fdaily-quotidien%2F250530%2Fdq250530c-eng.htm&amp;data=05%7C02%7CCransonJ%40michigan.gov%7C3fd7a1471fac46898f9408de9fdbfce5%7Cd5fb7087377742ad966a892ef47225d1%7C0%7C0%7C639123965123970375%7CUnknown%7CTWFpbGZsb3d8eyJFbXB0eU1hcGkiOnRydWUsIlYiOiIwLjAuMDAwMCIsIlAiOiJXaW4zMiIsIkFOIjoiTWFpbCIsIldUIjoyfQ%3D%3D%7C0%7C%7C%7C&amp;sdata=HFSBpgfzaBAsmh1Ayf0T3wdb53qGs8APimChS563dy8%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1853</Words>
  <Characters>10567</Characters>
  <Application>Microsoft Office Word</Application>
  <DocSecurity>0</DocSecurity>
  <Lines>88</Lines>
  <Paragraphs>24</Paragraphs>
  <ScaleCrop>false</ScaleCrop>
  <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Cranson, Jeff (MDOT)</dc:creator>
  <cp:keywords/>
  <dc:description/>
  <cp:lastModifiedBy>Cranson, Jeff (MDOT)</cp:lastModifiedBy>
  <cp:revision>2</cp:revision>
  <dcterms:created xsi:type="dcterms:W3CDTF">2026-04-30T19:56:00Z</dcterms:created>
  <dcterms:modified xsi:type="dcterms:W3CDTF">2026-04-30T19:56:00Z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2026-04-27T18:15:40Z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a9f184d5-f288-49b4-94b3-6ec7e2068a4e</vt:lpwstr>
  </property>
  <property fmtid="{D5CDD505-2E9C-101B-9397-08002B2CF9AE}" pid="8" name="MSIP_Label_3a2fed65-62e7-46ea-af74-187e0c17143a_ContentBits">
    <vt:lpwstr>0</vt:lpwstr>
  </property>
  <property fmtid="{D5CDD505-2E9C-101B-9397-08002B2CF9AE}" pid="9" name="MSIP_Label_3a2fed65-62e7-46ea-af74-187e0c17143a_Tag">
    <vt:lpwstr>60, 0, 1, 1</vt:lpwstr>
  </property>
</Properties>
</file>