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E212" w14:textId="77777777" w:rsidR="00B322C3" w:rsidRPr="001A6CBE" w:rsidRDefault="00B322C3" w:rsidP="007944FE">
      <w:pPr>
        <w:tabs>
          <w:tab w:val="left" w:pos="162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A6CBE">
        <w:rPr>
          <w:rFonts w:asciiTheme="minorHAnsi" w:hAnsiTheme="minorHAnsi" w:cs="Arial"/>
          <w:b/>
          <w:color w:val="006600"/>
          <w:sz w:val="32"/>
          <w:szCs w:val="32"/>
        </w:rPr>
        <w:t>Employee of the Year</w:t>
      </w:r>
    </w:p>
    <w:p w14:paraId="6810CBB1" w14:textId="77777777" w:rsidR="00AA07F9" w:rsidRPr="001A6CBE" w:rsidRDefault="00AA07F9" w:rsidP="00787741">
      <w:pPr>
        <w:tabs>
          <w:tab w:val="left" w:pos="16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7632894" w14:textId="77777777" w:rsidR="00AA07F9" w:rsidRPr="001A6CBE" w:rsidRDefault="00AA07F9" w:rsidP="00787741">
      <w:pPr>
        <w:tabs>
          <w:tab w:val="left" w:pos="16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6218A974" w14:textId="77777777" w:rsidR="00AA07F9" w:rsidRPr="001A6CBE" w:rsidRDefault="00B322C3" w:rsidP="00787741">
      <w:pPr>
        <w:tabs>
          <w:tab w:val="left" w:pos="1620"/>
        </w:tabs>
        <w:contextualSpacing/>
        <w:jc w:val="both"/>
        <w:outlineLvl w:val="0"/>
        <w:rPr>
          <w:rFonts w:asciiTheme="minorHAnsi" w:hAnsiTheme="minorHAnsi" w:cs="Arial"/>
          <w:color w:val="006600"/>
          <w:sz w:val="22"/>
          <w:szCs w:val="22"/>
        </w:rPr>
      </w:pPr>
      <w:r w:rsidRPr="001A6CBE">
        <w:rPr>
          <w:rFonts w:asciiTheme="minorHAnsi" w:hAnsiTheme="minorHAnsi" w:cs="Arial"/>
          <w:b/>
          <w:color w:val="006600"/>
          <w:sz w:val="22"/>
          <w:szCs w:val="22"/>
        </w:rPr>
        <w:t>Award Objective</w:t>
      </w:r>
      <w:r w:rsidRPr="001A6CBE">
        <w:rPr>
          <w:rFonts w:asciiTheme="minorHAnsi" w:hAnsiTheme="minorHAnsi" w:cs="Arial"/>
          <w:color w:val="006600"/>
          <w:sz w:val="22"/>
          <w:szCs w:val="22"/>
        </w:rPr>
        <w:t xml:space="preserve"> </w:t>
      </w:r>
    </w:p>
    <w:p w14:paraId="6729B25C" w14:textId="77777777" w:rsidR="00B322C3" w:rsidRPr="001A6CBE" w:rsidRDefault="00B322C3" w:rsidP="00787741">
      <w:pPr>
        <w:tabs>
          <w:tab w:val="left" w:pos="1620"/>
        </w:tabs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sz w:val="22"/>
          <w:szCs w:val="22"/>
        </w:rPr>
        <w:t>To recognize outstanding contributions toward achieving the mission of the Department of Lands by employees and continuous service to the Department, the endowments, and the citizens of Idaho.</w:t>
      </w:r>
    </w:p>
    <w:p w14:paraId="45AC70DA" w14:textId="77777777" w:rsidR="00B322C3" w:rsidRPr="001A6CBE" w:rsidRDefault="00B322C3" w:rsidP="00787741">
      <w:pPr>
        <w:tabs>
          <w:tab w:val="left" w:pos="1620"/>
        </w:tabs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3723796" w14:textId="77777777" w:rsidR="00AA07F9" w:rsidRPr="001A6CBE" w:rsidRDefault="007E520F" w:rsidP="00787741">
      <w:pPr>
        <w:tabs>
          <w:tab w:val="left" w:pos="1620"/>
        </w:tabs>
        <w:contextualSpacing/>
        <w:jc w:val="both"/>
        <w:outlineLvl w:val="0"/>
        <w:rPr>
          <w:rFonts w:asciiTheme="minorHAnsi" w:hAnsiTheme="minorHAnsi" w:cs="Arial"/>
          <w:b/>
          <w:color w:val="006600"/>
          <w:sz w:val="22"/>
          <w:szCs w:val="22"/>
        </w:rPr>
      </w:pPr>
      <w:r w:rsidRPr="001A6CBE">
        <w:rPr>
          <w:rFonts w:asciiTheme="minorHAnsi" w:hAnsiTheme="minorHAnsi" w:cs="Arial"/>
          <w:b/>
          <w:color w:val="006600"/>
          <w:sz w:val="22"/>
          <w:szCs w:val="22"/>
        </w:rPr>
        <w:t xml:space="preserve">Process to Nominate </w:t>
      </w:r>
      <w:r w:rsidR="00B322C3" w:rsidRPr="001A6CBE">
        <w:rPr>
          <w:rFonts w:asciiTheme="minorHAnsi" w:hAnsiTheme="minorHAnsi" w:cs="Arial"/>
          <w:b/>
          <w:color w:val="006600"/>
          <w:sz w:val="22"/>
          <w:szCs w:val="22"/>
        </w:rPr>
        <w:t>Candidates</w:t>
      </w:r>
    </w:p>
    <w:p w14:paraId="4FCB278B" w14:textId="77777777" w:rsidR="00790217" w:rsidRPr="001A6CBE" w:rsidRDefault="00FE1BA1" w:rsidP="00787741">
      <w:pPr>
        <w:numPr>
          <w:ilvl w:val="0"/>
          <w:numId w:val="4"/>
        </w:numPr>
        <w:ind w:left="450" w:hanging="45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sz w:val="22"/>
          <w:szCs w:val="22"/>
        </w:rPr>
        <w:t xml:space="preserve">Operations Chiefs, </w:t>
      </w:r>
      <w:r w:rsidR="00790217" w:rsidRPr="001A6CBE">
        <w:rPr>
          <w:rFonts w:asciiTheme="minorHAnsi" w:hAnsiTheme="minorHAnsi" w:cs="Arial"/>
          <w:sz w:val="22"/>
          <w:szCs w:val="22"/>
        </w:rPr>
        <w:t xml:space="preserve">Area </w:t>
      </w:r>
      <w:r w:rsidRPr="001A6CBE">
        <w:rPr>
          <w:rFonts w:asciiTheme="minorHAnsi" w:hAnsiTheme="minorHAnsi" w:cs="Arial"/>
          <w:sz w:val="22"/>
          <w:szCs w:val="22"/>
        </w:rPr>
        <w:t xml:space="preserve">Managers, </w:t>
      </w:r>
      <w:r w:rsidR="00790217" w:rsidRPr="001A6CBE">
        <w:rPr>
          <w:rFonts w:asciiTheme="minorHAnsi" w:hAnsiTheme="minorHAnsi" w:cs="Arial"/>
          <w:sz w:val="22"/>
          <w:szCs w:val="22"/>
        </w:rPr>
        <w:t>Bureau Chiefs</w:t>
      </w:r>
      <w:r w:rsidRPr="001A6CBE">
        <w:rPr>
          <w:rFonts w:asciiTheme="minorHAnsi" w:hAnsiTheme="minorHAnsi" w:cs="Arial"/>
          <w:sz w:val="22"/>
          <w:szCs w:val="22"/>
        </w:rPr>
        <w:t xml:space="preserve"> and </w:t>
      </w:r>
      <w:r w:rsidR="00CC5CA2" w:rsidRPr="001A6CBE">
        <w:rPr>
          <w:rFonts w:asciiTheme="minorHAnsi" w:hAnsiTheme="minorHAnsi" w:cs="Arial"/>
          <w:sz w:val="22"/>
          <w:szCs w:val="22"/>
        </w:rPr>
        <w:t>E</w:t>
      </w:r>
      <w:r w:rsidRPr="001A6CBE">
        <w:rPr>
          <w:rFonts w:asciiTheme="minorHAnsi" w:hAnsiTheme="minorHAnsi" w:cs="Arial"/>
          <w:sz w:val="22"/>
          <w:szCs w:val="22"/>
        </w:rPr>
        <w:t xml:space="preserve">xecutive </w:t>
      </w:r>
      <w:r w:rsidR="00CC5CA2" w:rsidRPr="001A6CBE">
        <w:rPr>
          <w:rFonts w:asciiTheme="minorHAnsi" w:hAnsiTheme="minorHAnsi" w:cs="Arial"/>
          <w:sz w:val="22"/>
          <w:szCs w:val="22"/>
        </w:rPr>
        <w:t>S</w:t>
      </w:r>
      <w:r w:rsidRPr="001A6CBE">
        <w:rPr>
          <w:rFonts w:asciiTheme="minorHAnsi" w:hAnsiTheme="minorHAnsi" w:cs="Arial"/>
          <w:sz w:val="22"/>
          <w:szCs w:val="22"/>
        </w:rPr>
        <w:t xml:space="preserve">taff may </w:t>
      </w:r>
      <w:r w:rsidR="00790217" w:rsidRPr="001A6CBE">
        <w:rPr>
          <w:rFonts w:asciiTheme="minorHAnsi" w:hAnsiTheme="minorHAnsi" w:cs="Arial"/>
          <w:sz w:val="22"/>
          <w:szCs w:val="22"/>
        </w:rPr>
        <w:t>make nominations</w:t>
      </w:r>
      <w:r w:rsidRPr="001A6CBE">
        <w:rPr>
          <w:rFonts w:asciiTheme="minorHAnsi" w:hAnsiTheme="minorHAnsi" w:cs="Arial"/>
          <w:sz w:val="22"/>
          <w:szCs w:val="22"/>
        </w:rPr>
        <w:t xml:space="preserve"> with the goal of recognizing our foundational workforce</w:t>
      </w:r>
      <w:r w:rsidR="00790217" w:rsidRPr="001A6CBE">
        <w:rPr>
          <w:rFonts w:asciiTheme="minorHAnsi" w:hAnsiTheme="minorHAnsi" w:cs="Arial"/>
          <w:sz w:val="22"/>
          <w:szCs w:val="22"/>
        </w:rPr>
        <w:t xml:space="preserve">.  </w:t>
      </w:r>
    </w:p>
    <w:p w14:paraId="3FB8E639" w14:textId="77777777" w:rsidR="00FE1BA1" w:rsidRPr="001A6CBE" w:rsidRDefault="00FE1BA1" w:rsidP="00787741">
      <w:pPr>
        <w:ind w:left="45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364F3AC" w14:textId="77777777" w:rsidR="00470573" w:rsidRPr="001A6CBE" w:rsidRDefault="00790217" w:rsidP="00787741">
      <w:pPr>
        <w:numPr>
          <w:ilvl w:val="0"/>
          <w:numId w:val="4"/>
        </w:numPr>
        <w:ind w:left="450" w:hanging="45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sz w:val="22"/>
          <w:szCs w:val="22"/>
        </w:rPr>
        <w:t xml:space="preserve">Employees 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are welcome to </w:t>
      </w:r>
      <w:r w:rsidRPr="001A6CBE">
        <w:rPr>
          <w:rFonts w:asciiTheme="minorHAnsi" w:hAnsiTheme="minorHAnsi" w:cs="Arial"/>
          <w:sz w:val="22"/>
          <w:szCs w:val="22"/>
        </w:rPr>
        <w:t xml:space="preserve">suggest nominees to their 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Operations Chief, </w:t>
      </w:r>
      <w:r w:rsidRPr="001A6CBE">
        <w:rPr>
          <w:rFonts w:asciiTheme="minorHAnsi" w:hAnsiTheme="minorHAnsi" w:cs="Arial"/>
          <w:sz w:val="22"/>
          <w:szCs w:val="22"/>
        </w:rPr>
        <w:t xml:space="preserve">Area 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Manager </w:t>
      </w:r>
      <w:r w:rsidRPr="001A6CBE">
        <w:rPr>
          <w:rFonts w:asciiTheme="minorHAnsi" w:hAnsiTheme="minorHAnsi" w:cs="Arial"/>
          <w:sz w:val="22"/>
          <w:szCs w:val="22"/>
        </w:rPr>
        <w:t xml:space="preserve">or Bureau Chief. 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 These leaders are encouraged to </w:t>
      </w:r>
      <w:r w:rsidRPr="001A6CBE">
        <w:rPr>
          <w:rFonts w:asciiTheme="minorHAnsi" w:hAnsiTheme="minorHAnsi" w:cs="Arial"/>
          <w:sz w:val="22"/>
          <w:szCs w:val="22"/>
        </w:rPr>
        <w:t xml:space="preserve">discuss 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with their teams </w:t>
      </w:r>
      <w:r w:rsidRPr="001A6CBE">
        <w:rPr>
          <w:rFonts w:asciiTheme="minorHAnsi" w:hAnsiTheme="minorHAnsi" w:cs="Arial"/>
          <w:sz w:val="22"/>
          <w:szCs w:val="22"/>
        </w:rPr>
        <w:t>the characteristics and qualities we value in the Department of Lands</w:t>
      </w:r>
      <w:r w:rsidR="00FE1BA1" w:rsidRPr="001A6CBE">
        <w:rPr>
          <w:rFonts w:asciiTheme="minorHAnsi" w:hAnsiTheme="minorHAnsi" w:cs="Arial"/>
          <w:sz w:val="22"/>
          <w:szCs w:val="22"/>
        </w:rPr>
        <w:t xml:space="preserve"> and to facilitate recommendations for nominations from their staff</w:t>
      </w:r>
      <w:r w:rsidRPr="001A6CBE">
        <w:rPr>
          <w:rFonts w:asciiTheme="minorHAnsi" w:hAnsiTheme="minorHAnsi" w:cs="Arial"/>
          <w:sz w:val="22"/>
          <w:szCs w:val="22"/>
        </w:rPr>
        <w:t xml:space="preserve">.  </w:t>
      </w:r>
    </w:p>
    <w:p w14:paraId="42E4D497" w14:textId="77777777" w:rsidR="00470573" w:rsidRPr="001A6CBE" w:rsidRDefault="00470573" w:rsidP="00787741">
      <w:pPr>
        <w:pStyle w:val="ListParagraph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FBC8D27" w14:textId="77777777" w:rsidR="009927C1" w:rsidRPr="001A6CBE" w:rsidRDefault="00470573" w:rsidP="00787741">
      <w:pPr>
        <w:numPr>
          <w:ilvl w:val="0"/>
          <w:numId w:val="4"/>
        </w:numPr>
        <w:ind w:left="450" w:hanging="45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sz w:val="22"/>
          <w:szCs w:val="22"/>
        </w:rPr>
        <w:t xml:space="preserve">All full and part-time, permanent employees are eligible to be nominated to receive this award </w:t>
      </w:r>
      <w:proofErr w:type="gramStart"/>
      <w:r w:rsidR="00FE1BA1" w:rsidRPr="001A6CBE">
        <w:rPr>
          <w:rFonts w:asciiTheme="minorHAnsi" w:hAnsiTheme="minorHAnsi" w:cs="Arial"/>
          <w:sz w:val="22"/>
          <w:szCs w:val="22"/>
        </w:rPr>
        <w:t>with the exception of</w:t>
      </w:r>
      <w:proofErr w:type="gramEnd"/>
      <w:r w:rsidR="00FE1BA1" w:rsidRPr="001A6CBE">
        <w:rPr>
          <w:rFonts w:asciiTheme="minorHAnsi" w:hAnsiTheme="minorHAnsi" w:cs="Arial"/>
          <w:sz w:val="22"/>
          <w:szCs w:val="22"/>
        </w:rPr>
        <w:t xml:space="preserve"> </w:t>
      </w:r>
      <w:r w:rsidRPr="001A6CBE">
        <w:rPr>
          <w:rFonts w:asciiTheme="minorHAnsi" w:hAnsiTheme="minorHAnsi" w:cs="Arial"/>
          <w:sz w:val="22"/>
          <w:szCs w:val="22"/>
        </w:rPr>
        <w:t xml:space="preserve">the Director and members of the Executive Staff.  </w:t>
      </w:r>
    </w:p>
    <w:p w14:paraId="5F800B60" w14:textId="77777777" w:rsidR="009927C1" w:rsidRPr="001A6CBE" w:rsidRDefault="009927C1" w:rsidP="00787741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4E414587" w14:textId="16BFA30D" w:rsidR="009927C1" w:rsidRPr="001A6CBE" w:rsidRDefault="009927C1" w:rsidP="00787741">
      <w:pPr>
        <w:numPr>
          <w:ilvl w:val="0"/>
          <w:numId w:val="4"/>
        </w:numPr>
        <w:ind w:left="450" w:hanging="45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/>
          <w:sz w:val="22"/>
          <w:szCs w:val="22"/>
        </w:rPr>
        <w:t xml:space="preserve">The Executive Team will select </w:t>
      </w:r>
      <w:proofErr w:type="gramStart"/>
      <w:r w:rsidRPr="001A6CBE">
        <w:rPr>
          <w:rFonts w:asciiTheme="minorHAnsi" w:hAnsiTheme="minorHAnsi"/>
          <w:sz w:val="22"/>
          <w:szCs w:val="22"/>
        </w:rPr>
        <w:t>the</w:t>
      </w:r>
      <w:r w:rsidR="00AA78A2" w:rsidRPr="001A6CBE">
        <w:rPr>
          <w:rFonts w:asciiTheme="minorHAnsi" w:hAnsiTheme="minorHAnsi"/>
          <w:sz w:val="22"/>
          <w:szCs w:val="22"/>
        </w:rPr>
        <w:t xml:space="preserve"> one</w:t>
      </w:r>
      <w:proofErr w:type="gramEnd"/>
      <w:r w:rsidR="00AA78A2" w:rsidRPr="001A6CBE">
        <w:rPr>
          <w:rFonts w:asciiTheme="minorHAnsi" w:hAnsiTheme="minorHAnsi"/>
          <w:sz w:val="22"/>
          <w:szCs w:val="22"/>
        </w:rPr>
        <w:t xml:space="preserve"> (1) </w:t>
      </w:r>
      <w:r w:rsidRPr="001A6CBE">
        <w:rPr>
          <w:rFonts w:asciiTheme="minorHAnsi" w:hAnsiTheme="minorHAnsi"/>
          <w:sz w:val="22"/>
          <w:szCs w:val="22"/>
        </w:rPr>
        <w:t xml:space="preserve">Employee of the Year </w:t>
      </w:r>
      <w:r w:rsidRPr="001A6CBE">
        <w:rPr>
          <w:rFonts w:asciiTheme="minorHAnsi" w:hAnsiTheme="minorHAnsi"/>
          <w:sz w:val="22"/>
          <w:szCs w:val="22"/>
          <w:u w:val="single"/>
        </w:rPr>
        <w:t>AND</w:t>
      </w:r>
      <w:r w:rsidRPr="001A6CBE">
        <w:rPr>
          <w:rFonts w:asciiTheme="minorHAnsi" w:hAnsiTheme="minorHAnsi"/>
          <w:sz w:val="22"/>
          <w:szCs w:val="22"/>
        </w:rPr>
        <w:t xml:space="preserve"> up to </w:t>
      </w:r>
      <w:r w:rsidR="001A6CBE">
        <w:rPr>
          <w:rFonts w:asciiTheme="minorHAnsi" w:hAnsiTheme="minorHAnsi"/>
          <w:sz w:val="22"/>
          <w:szCs w:val="22"/>
        </w:rPr>
        <w:t xml:space="preserve">four </w:t>
      </w:r>
      <w:r w:rsidRPr="001A6CBE">
        <w:rPr>
          <w:rFonts w:asciiTheme="minorHAnsi" w:hAnsiTheme="minorHAnsi"/>
          <w:sz w:val="22"/>
          <w:szCs w:val="22"/>
        </w:rPr>
        <w:t>(</w:t>
      </w:r>
      <w:r w:rsidR="001A6CBE">
        <w:rPr>
          <w:rFonts w:asciiTheme="minorHAnsi" w:hAnsiTheme="minorHAnsi"/>
          <w:sz w:val="22"/>
          <w:szCs w:val="22"/>
        </w:rPr>
        <w:t>4</w:t>
      </w:r>
      <w:r w:rsidRPr="001A6CBE">
        <w:rPr>
          <w:rFonts w:asciiTheme="minorHAnsi" w:hAnsiTheme="minorHAnsi"/>
          <w:sz w:val="22"/>
          <w:szCs w:val="22"/>
        </w:rPr>
        <w:t>) additional award winners based on their contributions to the individual</w:t>
      </w:r>
      <w:r w:rsidR="002E685A" w:rsidRPr="001A6CBE">
        <w:rPr>
          <w:rFonts w:asciiTheme="minorHAnsi" w:hAnsiTheme="minorHAnsi"/>
          <w:sz w:val="22"/>
          <w:szCs w:val="22"/>
        </w:rPr>
        <w:t xml:space="preserve"> IDL</w:t>
      </w:r>
      <w:r w:rsidRPr="001A6CBE">
        <w:rPr>
          <w:rFonts w:asciiTheme="minorHAnsi" w:hAnsiTheme="minorHAnsi"/>
          <w:sz w:val="22"/>
          <w:szCs w:val="22"/>
        </w:rPr>
        <w:t xml:space="preserve"> values.  </w:t>
      </w:r>
    </w:p>
    <w:p w14:paraId="39153C36" w14:textId="77777777" w:rsidR="00470573" w:rsidRPr="001A6CBE" w:rsidRDefault="00470573" w:rsidP="00787741">
      <w:pPr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EB3BA3B" w14:textId="77777777" w:rsidR="00AA07F9" w:rsidRPr="001A6CBE" w:rsidRDefault="009C0315" w:rsidP="00787741">
      <w:pPr>
        <w:tabs>
          <w:tab w:val="left" w:pos="1620"/>
        </w:tabs>
        <w:contextualSpacing/>
        <w:jc w:val="both"/>
        <w:outlineLvl w:val="0"/>
        <w:rPr>
          <w:rFonts w:asciiTheme="minorHAnsi" w:hAnsiTheme="minorHAnsi" w:cs="Arial"/>
          <w:color w:val="006600"/>
          <w:sz w:val="22"/>
          <w:szCs w:val="22"/>
        </w:rPr>
      </w:pPr>
      <w:r w:rsidRPr="001A6CBE">
        <w:rPr>
          <w:rFonts w:asciiTheme="minorHAnsi" w:hAnsiTheme="minorHAnsi" w:cs="Arial"/>
          <w:b/>
          <w:color w:val="006600"/>
          <w:sz w:val="22"/>
          <w:szCs w:val="22"/>
        </w:rPr>
        <w:t>Criteria</w:t>
      </w:r>
      <w:r w:rsidRPr="001A6CBE">
        <w:rPr>
          <w:rFonts w:asciiTheme="minorHAnsi" w:hAnsiTheme="minorHAnsi" w:cs="Arial"/>
          <w:color w:val="006600"/>
          <w:sz w:val="22"/>
          <w:szCs w:val="22"/>
        </w:rPr>
        <w:t xml:space="preserve">  </w:t>
      </w:r>
    </w:p>
    <w:p w14:paraId="4FFC68BC" w14:textId="77777777" w:rsidR="00B322C3" w:rsidRPr="001A6CBE" w:rsidRDefault="009C0315" w:rsidP="00787741">
      <w:pPr>
        <w:tabs>
          <w:tab w:val="left" w:pos="1620"/>
        </w:tabs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sz w:val="22"/>
          <w:szCs w:val="22"/>
        </w:rPr>
        <w:t xml:space="preserve">The criteria for consideration for this award are service and job performance that goes beyond the </w:t>
      </w:r>
      <w:r w:rsidR="00464492" w:rsidRPr="001A6CBE">
        <w:rPr>
          <w:rFonts w:asciiTheme="minorHAnsi" w:hAnsiTheme="minorHAnsi" w:cs="Arial"/>
          <w:sz w:val="22"/>
          <w:szCs w:val="22"/>
        </w:rPr>
        <w:t xml:space="preserve">normal </w:t>
      </w:r>
      <w:r w:rsidR="003B5EAE" w:rsidRPr="001A6CBE">
        <w:rPr>
          <w:rFonts w:asciiTheme="minorHAnsi" w:hAnsiTheme="minorHAnsi" w:cs="Arial"/>
          <w:sz w:val="22"/>
          <w:szCs w:val="22"/>
        </w:rPr>
        <w:t xml:space="preserve">day-to-day </w:t>
      </w:r>
      <w:r w:rsidR="00464492" w:rsidRPr="001A6CBE">
        <w:rPr>
          <w:rFonts w:asciiTheme="minorHAnsi" w:hAnsiTheme="minorHAnsi" w:cs="Arial"/>
          <w:sz w:val="22"/>
          <w:szCs w:val="22"/>
        </w:rPr>
        <w:t>expectations of an employee’s position</w:t>
      </w:r>
      <w:r w:rsidR="009927C1" w:rsidRPr="001A6CBE">
        <w:rPr>
          <w:rFonts w:asciiTheme="minorHAnsi" w:hAnsiTheme="minorHAnsi" w:cs="Arial"/>
          <w:sz w:val="22"/>
          <w:szCs w:val="22"/>
        </w:rPr>
        <w:t xml:space="preserve"> and </w:t>
      </w:r>
      <w:proofErr w:type="gramStart"/>
      <w:r w:rsidR="009927C1" w:rsidRPr="001A6CBE">
        <w:rPr>
          <w:rFonts w:asciiTheme="minorHAnsi" w:hAnsiTheme="minorHAnsi" w:cs="Arial"/>
          <w:sz w:val="22"/>
          <w:szCs w:val="22"/>
        </w:rPr>
        <w:t>in</w:t>
      </w:r>
      <w:proofErr w:type="gramEnd"/>
      <w:r w:rsidR="009927C1" w:rsidRPr="001A6CBE">
        <w:rPr>
          <w:rFonts w:asciiTheme="minorHAnsi" w:hAnsiTheme="minorHAnsi" w:cs="Arial"/>
          <w:sz w:val="22"/>
          <w:szCs w:val="22"/>
        </w:rPr>
        <w:t xml:space="preserve"> alignment with our IDL values</w:t>
      </w:r>
      <w:r w:rsidRPr="001A6CBE">
        <w:rPr>
          <w:rFonts w:asciiTheme="minorHAnsi" w:hAnsiTheme="minorHAnsi" w:cs="Arial"/>
          <w:sz w:val="22"/>
          <w:szCs w:val="22"/>
        </w:rPr>
        <w:t xml:space="preserve">.  </w:t>
      </w:r>
      <w:r w:rsidR="00464492" w:rsidRPr="001A6CBE">
        <w:rPr>
          <w:rFonts w:asciiTheme="minorHAnsi" w:hAnsiTheme="minorHAnsi" w:cs="Arial"/>
          <w:sz w:val="22"/>
          <w:szCs w:val="22"/>
        </w:rPr>
        <w:t>Employee contributions should be recognized for performance that embodies the organizational values as described below.</w:t>
      </w:r>
    </w:p>
    <w:p w14:paraId="214AE584" w14:textId="77777777" w:rsidR="009C0315" w:rsidRPr="001A6CBE" w:rsidRDefault="009C0315" w:rsidP="00787741">
      <w:pPr>
        <w:tabs>
          <w:tab w:val="left" w:pos="1620"/>
        </w:tabs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5153BE09" w14:textId="77777777" w:rsidR="00CC5CA2" w:rsidRPr="001A6CBE" w:rsidRDefault="00CC5CA2" w:rsidP="0078774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  <w:r w:rsidRPr="001A6CBE">
        <w:rPr>
          <w:rFonts w:asciiTheme="minorHAnsi" w:eastAsiaTheme="minorHAnsi" w:hAnsiTheme="minorHAnsi"/>
          <w:b/>
          <w:color w:val="006600"/>
          <w:sz w:val="22"/>
          <w:szCs w:val="22"/>
        </w:rPr>
        <w:t>Stewardship</w:t>
      </w:r>
      <w:r w:rsidRPr="001A6CBE">
        <w:rPr>
          <w:rFonts w:asciiTheme="minorHAnsi" w:eastAsiaTheme="minorHAnsi" w:hAnsiTheme="minorHAnsi" w:cs="EamesCenturyModern-BoldItalic"/>
          <w:bCs/>
          <w:iCs/>
          <w:sz w:val="22"/>
          <w:szCs w:val="22"/>
        </w:rPr>
        <w:t xml:space="preserve"> - </w:t>
      </w:r>
      <w:r w:rsidRPr="001A6CBE">
        <w:rPr>
          <w:rFonts w:asciiTheme="minorHAnsi" w:eastAsiaTheme="minorHAnsi" w:hAnsiTheme="minorHAnsi" w:cs="Tofino-Book"/>
          <w:sz w:val="22"/>
          <w:szCs w:val="22"/>
        </w:rPr>
        <w:t>By making decisions and taking actions that positively affect long-term financial returns for the trust beneficiaries and enhance the health and resilience of Idaho’s natural resources.</w:t>
      </w:r>
    </w:p>
    <w:p w14:paraId="14AE4B3F" w14:textId="77777777" w:rsidR="00CC5CA2" w:rsidRPr="001A6CBE" w:rsidRDefault="00CC5CA2" w:rsidP="00787741">
      <w:pPr>
        <w:pStyle w:val="ListParagraph"/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</w:p>
    <w:p w14:paraId="7D89598B" w14:textId="77777777" w:rsidR="00CC5CA2" w:rsidRPr="001A6CBE" w:rsidRDefault="00CC5CA2" w:rsidP="0078774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  <w:r w:rsidRPr="001A6CBE">
        <w:rPr>
          <w:rFonts w:asciiTheme="minorHAnsi" w:eastAsiaTheme="minorHAnsi" w:hAnsiTheme="minorHAnsi"/>
          <w:b/>
          <w:color w:val="006600"/>
          <w:sz w:val="22"/>
          <w:szCs w:val="22"/>
        </w:rPr>
        <w:t>Service</w:t>
      </w:r>
      <w:r w:rsidRPr="001A6CBE">
        <w:rPr>
          <w:rFonts w:asciiTheme="minorHAnsi" w:eastAsiaTheme="minorHAnsi" w:hAnsiTheme="minorHAnsi" w:cs="EamesCenturyModern-BoldItalic"/>
          <w:bCs/>
          <w:iCs/>
          <w:sz w:val="22"/>
          <w:szCs w:val="22"/>
        </w:rPr>
        <w:t xml:space="preserve"> - B</w:t>
      </w:r>
      <w:r w:rsidRPr="001A6CBE">
        <w:rPr>
          <w:rFonts w:asciiTheme="minorHAnsi" w:eastAsiaTheme="minorHAnsi" w:hAnsiTheme="minorHAnsi" w:cs="Tofino-Book"/>
          <w:sz w:val="22"/>
          <w:szCs w:val="22"/>
        </w:rPr>
        <w:t>y providing exemplary service and delivering programs with professionalism and integrity to both internal and external customers.</w:t>
      </w:r>
    </w:p>
    <w:p w14:paraId="193D2967" w14:textId="77777777" w:rsidR="00CC5CA2" w:rsidRPr="001A6CBE" w:rsidRDefault="00CC5CA2" w:rsidP="00787741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</w:p>
    <w:p w14:paraId="5A6A0A4A" w14:textId="77777777" w:rsidR="00CC5CA2" w:rsidRPr="001A6CBE" w:rsidRDefault="00CC5CA2" w:rsidP="0078774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  <w:r w:rsidRPr="001A6CBE">
        <w:rPr>
          <w:rFonts w:asciiTheme="minorHAnsi" w:eastAsiaTheme="minorHAnsi" w:hAnsiTheme="minorHAnsi"/>
          <w:b/>
          <w:color w:val="006600"/>
          <w:sz w:val="22"/>
          <w:szCs w:val="22"/>
        </w:rPr>
        <w:t>Accountability</w:t>
      </w:r>
      <w:r w:rsidRPr="001A6CBE">
        <w:rPr>
          <w:rFonts w:asciiTheme="minorHAnsi" w:eastAsiaTheme="minorHAnsi" w:hAnsiTheme="minorHAnsi" w:cs="EamesCenturyModern-BoldItalic"/>
          <w:bCs/>
          <w:iCs/>
          <w:sz w:val="22"/>
          <w:szCs w:val="22"/>
        </w:rPr>
        <w:t xml:space="preserve"> - </w:t>
      </w:r>
      <w:r w:rsidRPr="001A6CBE">
        <w:rPr>
          <w:rFonts w:asciiTheme="minorHAnsi" w:eastAsiaTheme="minorHAnsi" w:hAnsiTheme="minorHAnsi" w:cs="Tofino-Book"/>
          <w:sz w:val="22"/>
          <w:szCs w:val="22"/>
        </w:rPr>
        <w:t>By investing in and having an organizational culture and framework that equips, entrusts, and expects employees to make decisions and get things done.</w:t>
      </w:r>
    </w:p>
    <w:p w14:paraId="3119A9BA" w14:textId="77777777" w:rsidR="00CC5CA2" w:rsidRPr="001A6CBE" w:rsidRDefault="00CC5CA2" w:rsidP="00787741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</w:p>
    <w:p w14:paraId="40910D2D" w14:textId="77777777" w:rsidR="00CC5CA2" w:rsidRPr="001A6CBE" w:rsidRDefault="00CC5CA2" w:rsidP="0078774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  <w:r w:rsidRPr="001A6CBE">
        <w:rPr>
          <w:rFonts w:asciiTheme="minorHAnsi" w:eastAsiaTheme="minorHAnsi" w:hAnsiTheme="minorHAnsi"/>
          <w:b/>
          <w:color w:val="006600"/>
          <w:sz w:val="22"/>
          <w:szCs w:val="22"/>
        </w:rPr>
        <w:t>Cohesiveness</w:t>
      </w:r>
      <w:r w:rsidRPr="001A6CBE">
        <w:rPr>
          <w:rFonts w:asciiTheme="minorHAnsi" w:eastAsiaTheme="minorHAnsi" w:hAnsiTheme="minorHAnsi" w:cs="EamesCenturyModern-BoldItalic"/>
          <w:bCs/>
          <w:iCs/>
          <w:sz w:val="22"/>
          <w:szCs w:val="22"/>
        </w:rPr>
        <w:t xml:space="preserve"> - </w:t>
      </w:r>
      <w:r w:rsidRPr="001A6CBE">
        <w:rPr>
          <w:rFonts w:asciiTheme="minorHAnsi" w:eastAsiaTheme="minorHAnsi" w:hAnsiTheme="minorHAnsi" w:cs="Tofino-Book"/>
          <w:sz w:val="22"/>
          <w:szCs w:val="22"/>
        </w:rPr>
        <w:t>By working as a unified organization in which all employees participate in constructive communication to fully meet our mission.</w:t>
      </w:r>
    </w:p>
    <w:p w14:paraId="17B35190" w14:textId="77777777" w:rsidR="00CC5CA2" w:rsidRPr="001A6CBE" w:rsidRDefault="00CC5CA2" w:rsidP="00787741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="Tofino-Book"/>
          <w:sz w:val="22"/>
          <w:szCs w:val="22"/>
        </w:rPr>
      </w:pPr>
    </w:p>
    <w:p w14:paraId="554CCF76" w14:textId="548F9A27" w:rsidR="00326321" w:rsidRPr="001A6CBE" w:rsidRDefault="00BF3993" w:rsidP="00787741">
      <w:pPr>
        <w:numPr>
          <w:ilvl w:val="0"/>
          <w:numId w:val="3"/>
        </w:numPr>
        <w:tabs>
          <w:tab w:val="left" w:pos="1620"/>
        </w:tabs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A6CBE">
        <w:rPr>
          <w:rFonts w:asciiTheme="minorHAnsi" w:hAnsiTheme="minorHAnsi" w:cs="Arial"/>
          <w:b/>
          <w:color w:val="006600"/>
          <w:sz w:val="22"/>
          <w:szCs w:val="22"/>
        </w:rPr>
        <w:t>Quality Contributions</w:t>
      </w:r>
      <w:r w:rsidRPr="001A6CBE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1A6CBE">
        <w:rPr>
          <w:rFonts w:asciiTheme="minorHAnsi" w:hAnsiTheme="minorHAnsi" w:cs="Arial"/>
          <w:sz w:val="22"/>
          <w:szCs w:val="22"/>
        </w:rPr>
        <w:t xml:space="preserve">Demonstrates </w:t>
      </w:r>
      <w:r w:rsidR="00326321" w:rsidRPr="001A6CBE">
        <w:rPr>
          <w:rFonts w:asciiTheme="minorHAnsi" w:hAnsiTheme="minorHAnsi" w:cs="Arial"/>
          <w:sz w:val="22"/>
          <w:szCs w:val="22"/>
        </w:rPr>
        <w:t>a high level of competence</w:t>
      </w:r>
      <w:r w:rsidRPr="001A6CBE">
        <w:rPr>
          <w:rFonts w:asciiTheme="minorHAnsi" w:hAnsiTheme="minorHAnsi" w:cs="Arial"/>
          <w:sz w:val="22"/>
          <w:szCs w:val="22"/>
        </w:rPr>
        <w:t xml:space="preserve"> in the various aspects of one’s position.  Approaches responsibilities and issues thoroughly.  </w:t>
      </w:r>
      <w:r w:rsidR="00326321" w:rsidRPr="001A6CBE">
        <w:rPr>
          <w:rFonts w:asciiTheme="minorHAnsi" w:hAnsiTheme="minorHAnsi" w:cs="Arial"/>
          <w:sz w:val="22"/>
          <w:szCs w:val="22"/>
        </w:rPr>
        <w:t xml:space="preserve">Proactively addresses issues using creative problem solving in identifying alternatives, analyzing pros and </w:t>
      </w:r>
      <w:proofErr w:type="gramStart"/>
      <w:r w:rsidR="00326321" w:rsidRPr="001A6CBE">
        <w:rPr>
          <w:rFonts w:asciiTheme="minorHAnsi" w:hAnsiTheme="minorHAnsi" w:cs="Arial"/>
          <w:sz w:val="22"/>
          <w:szCs w:val="22"/>
        </w:rPr>
        <w:t>cons</w:t>
      </w:r>
      <w:proofErr w:type="gramEnd"/>
      <w:r w:rsidR="00326321" w:rsidRPr="001A6CBE">
        <w:rPr>
          <w:rFonts w:asciiTheme="minorHAnsi" w:hAnsiTheme="minorHAnsi" w:cs="Arial"/>
          <w:sz w:val="22"/>
          <w:szCs w:val="22"/>
        </w:rPr>
        <w:t xml:space="preserve"> and providing mission centered solutions.</w:t>
      </w:r>
    </w:p>
    <w:p w14:paraId="0767EA62" w14:textId="77777777" w:rsidR="001A6CBE" w:rsidRPr="001A6CBE" w:rsidRDefault="001A6CBE" w:rsidP="00787741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</w:p>
    <w:p w14:paraId="38355CC1" w14:textId="77777777" w:rsidR="00742944" w:rsidRDefault="00742944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</w:p>
    <w:p w14:paraId="5750709B" w14:textId="77777777" w:rsidR="00742944" w:rsidRDefault="00742944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</w:p>
    <w:p w14:paraId="5359B356" w14:textId="77777777" w:rsidR="00742944" w:rsidRDefault="00742944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</w:p>
    <w:p w14:paraId="0036C6D6" w14:textId="77777777" w:rsidR="00742944" w:rsidRDefault="00742944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</w:p>
    <w:p w14:paraId="7305D130" w14:textId="77777777" w:rsidR="00742944" w:rsidRDefault="00742944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</w:p>
    <w:p w14:paraId="1F28E28E" w14:textId="5076A787" w:rsidR="004E6812" w:rsidRPr="007944FE" w:rsidRDefault="00E66581" w:rsidP="00CB268D">
      <w:pPr>
        <w:jc w:val="center"/>
        <w:rPr>
          <w:rFonts w:asciiTheme="minorHAnsi" w:hAnsiTheme="minorHAnsi" w:cs="Arial"/>
          <w:b/>
          <w:color w:val="006600"/>
          <w:sz w:val="36"/>
          <w:szCs w:val="36"/>
        </w:rPr>
      </w:pPr>
      <w:r w:rsidRPr="007944FE">
        <w:rPr>
          <w:rFonts w:asciiTheme="minorHAnsi" w:hAnsiTheme="minorHAnsi" w:cs="Arial"/>
          <w:b/>
          <w:color w:val="006600"/>
          <w:sz w:val="36"/>
          <w:szCs w:val="36"/>
        </w:rPr>
        <w:lastRenderedPageBreak/>
        <w:t>Employee of the Year</w:t>
      </w:r>
    </w:p>
    <w:p w14:paraId="7E881BCD" w14:textId="77777777" w:rsidR="00E66581" w:rsidRPr="007944FE" w:rsidRDefault="00E66581" w:rsidP="007944FE">
      <w:pPr>
        <w:jc w:val="center"/>
        <w:outlineLvl w:val="0"/>
        <w:rPr>
          <w:rFonts w:asciiTheme="minorHAnsi" w:hAnsiTheme="minorHAnsi" w:cs="Arial"/>
          <w:b/>
          <w:color w:val="006600"/>
          <w:sz w:val="52"/>
          <w:szCs w:val="52"/>
        </w:rPr>
      </w:pPr>
      <w:r w:rsidRPr="007944FE">
        <w:rPr>
          <w:rFonts w:asciiTheme="minorHAnsi" w:hAnsiTheme="minorHAnsi" w:cs="Arial"/>
          <w:b/>
          <w:color w:val="006600"/>
          <w:sz w:val="36"/>
          <w:szCs w:val="36"/>
        </w:rPr>
        <w:t>Nomination Form</w:t>
      </w:r>
    </w:p>
    <w:p w14:paraId="71EB2098" w14:textId="77777777" w:rsidR="007944FE" w:rsidRDefault="007944FE" w:rsidP="00790217">
      <w:pPr>
        <w:tabs>
          <w:tab w:val="left" w:pos="1620"/>
        </w:tabs>
        <w:outlineLvl w:val="0"/>
        <w:rPr>
          <w:rFonts w:asciiTheme="minorHAnsi" w:hAnsiTheme="minorHAnsi" w:cs="Arial"/>
          <w:b/>
          <w:color w:val="006600"/>
          <w:sz w:val="22"/>
          <w:szCs w:val="22"/>
        </w:rPr>
      </w:pPr>
    </w:p>
    <w:p w14:paraId="644E5729" w14:textId="77777777" w:rsidR="00790217" w:rsidRPr="007944FE" w:rsidRDefault="00790217" w:rsidP="00787741">
      <w:pPr>
        <w:tabs>
          <w:tab w:val="left" w:pos="1620"/>
        </w:tabs>
        <w:jc w:val="both"/>
        <w:outlineLvl w:val="0"/>
        <w:rPr>
          <w:rFonts w:asciiTheme="minorHAnsi" w:hAnsiTheme="minorHAnsi" w:cs="Arial"/>
          <w:b/>
          <w:color w:val="006600"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Nomination Process</w:t>
      </w:r>
    </w:p>
    <w:p w14:paraId="2C72A81F" w14:textId="139A3216" w:rsidR="00790217" w:rsidRPr="007944FE" w:rsidRDefault="00790217" w:rsidP="00787741">
      <w:pPr>
        <w:tabs>
          <w:tab w:val="left" w:pos="1620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944FE">
        <w:rPr>
          <w:rFonts w:asciiTheme="minorHAnsi" w:hAnsiTheme="minorHAnsi" w:cs="Arial"/>
          <w:sz w:val="22"/>
          <w:szCs w:val="22"/>
        </w:rPr>
        <w:t xml:space="preserve">All nominations must be submitted by </w:t>
      </w:r>
      <w:r w:rsidR="00742944">
        <w:rPr>
          <w:rFonts w:asciiTheme="minorHAnsi" w:hAnsiTheme="minorHAnsi" w:cs="Arial"/>
          <w:i/>
          <w:sz w:val="22"/>
          <w:szCs w:val="22"/>
        </w:rPr>
        <w:t>April 5</w:t>
      </w:r>
      <w:r w:rsidR="00BF3993" w:rsidRPr="007944FE">
        <w:rPr>
          <w:rFonts w:asciiTheme="minorHAnsi" w:hAnsiTheme="minorHAnsi" w:cs="Arial"/>
          <w:i/>
          <w:sz w:val="22"/>
          <w:szCs w:val="22"/>
        </w:rPr>
        <w:t>, 20</w:t>
      </w:r>
      <w:r w:rsidR="009927C1">
        <w:rPr>
          <w:rFonts w:asciiTheme="minorHAnsi" w:hAnsiTheme="minorHAnsi" w:cs="Arial"/>
          <w:i/>
          <w:sz w:val="22"/>
          <w:szCs w:val="22"/>
        </w:rPr>
        <w:t>2</w:t>
      </w:r>
      <w:r w:rsidR="00742944">
        <w:rPr>
          <w:rFonts w:asciiTheme="minorHAnsi" w:hAnsiTheme="minorHAnsi" w:cs="Arial"/>
          <w:i/>
          <w:sz w:val="22"/>
          <w:szCs w:val="22"/>
        </w:rPr>
        <w:t>3</w:t>
      </w:r>
      <w:r w:rsidRPr="007944FE">
        <w:rPr>
          <w:rFonts w:asciiTheme="minorHAnsi" w:hAnsiTheme="minorHAnsi" w:cs="Arial"/>
          <w:sz w:val="22"/>
          <w:szCs w:val="22"/>
        </w:rPr>
        <w:t>.  Please submit nominations to</w:t>
      </w:r>
      <w:r w:rsidR="006F7E19">
        <w:rPr>
          <w:rFonts w:asciiTheme="minorHAnsi" w:hAnsiTheme="minorHAnsi" w:cs="Arial"/>
          <w:sz w:val="22"/>
          <w:szCs w:val="22"/>
        </w:rPr>
        <w:t xml:space="preserve"> </w:t>
      </w:r>
      <w:r w:rsidR="00742944">
        <w:rPr>
          <w:rFonts w:asciiTheme="minorHAnsi" w:hAnsiTheme="minorHAnsi" w:cs="Arial"/>
          <w:sz w:val="22"/>
          <w:szCs w:val="22"/>
        </w:rPr>
        <w:t>Bill Haagenson</w:t>
      </w:r>
      <w:r w:rsidR="006F7E19">
        <w:rPr>
          <w:rFonts w:asciiTheme="minorHAnsi" w:hAnsiTheme="minorHAnsi" w:cs="Arial"/>
          <w:sz w:val="22"/>
          <w:szCs w:val="22"/>
        </w:rPr>
        <w:t xml:space="preserve"> at</w:t>
      </w:r>
      <w:r w:rsidR="00B46B46">
        <w:rPr>
          <w:rFonts w:asciiTheme="minorHAnsi" w:hAnsiTheme="minorHAnsi" w:cs="Arial"/>
          <w:sz w:val="22"/>
          <w:szCs w:val="22"/>
        </w:rPr>
        <w:t xml:space="preserve"> whaagenson</w:t>
      </w:r>
      <w:r w:rsidR="006F7E19">
        <w:rPr>
          <w:rFonts w:asciiTheme="minorHAnsi" w:hAnsiTheme="minorHAnsi" w:cs="Arial"/>
          <w:sz w:val="22"/>
          <w:szCs w:val="22"/>
        </w:rPr>
        <w:t>@idl.idaho.gov</w:t>
      </w:r>
      <w:r w:rsidRPr="007944FE">
        <w:rPr>
          <w:rFonts w:asciiTheme="minorHAnsi" w:hAnsiTheme="minorHAnsi" w:cs="Arial"/>
          <w:sz w:val="22"/>
          <w:szCs w:val="22"/>
        </w:rPr>
        <w:t>.  Thank you for your thoughtful consideration of others in this recognition process.</w:t>
      </w:r>
    </w:p>
    <w:p w14:paraId="45A87A23" w14:textId="77777777" w:rsidR="00FC6982" w:rsidRPr="007944FE" w:rsidRDefault="00FC6982" w:rsidP="00787741">
      <w:pPr>
        <w:jc w:val="both"/>
        <w:rPr>
          <w:rFonts w:asciiTheme="minorHAnsi" w:hAnsiTheme="minorHAnsi" w:cs="Arial"/>
          <w:b/>
          <w:color w:val="015B32"/>
          <w:sz w:val="22"/>
          <w:szCs w:val="22"/>
        </w:rPr>
      </w:pPr>
    </w:p>
    <w:p w14:paraId="3BB54334" w14:textId="77777777" w:rsidR="00BF7F1B" w:rsidRPr="007944FE" w:rsidRDefault="00E66581" w:rsidP="00787741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Name of Nominee</w:t>
      </w:r>
      <w:r w:rsidR="004D4595" w:rsidRPr="007944FE">
        <w:rPr>
          <w:rFonts w:asciiTheme="minorHAnsi" w:hAnsiTheme="minorHAnsi" w:cs="Arial"/>
          <w:b/>
          <w:color w:val="006600"/>
          <w:sz w:val="22"/>
          <w:szCs w:val="22"/>
        </w:rPr>
        <w:t>:</w:t>
      </w:r>
      <w:r w:rsidR="00FC6982" w:rsidRPr="007944F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3DFFC08" w14:textId="77777777" w:rsidR="004D4595" w:rsidRPr="007944FE" w:rsidRDefault="004D4595" w:rsidP="0078774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2D48617" w14:textId="77777777" w:rsidR="00E66581" w:rsidRPr="007944FE" w:rsidRDefault="00E66581" w:rsidP="00787741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Position of Nominee</w:t>
      </w:r>
      <w:r w:rsidR="004D4595" w:rsidRPr="007944FE">
        <w:rPr>
          <w:rFonts w:asciiTheme="minorHAnsi" w:hAnsiTheme="minorHAnsi" w:cs="Arial"/>
          <w:b/>
          <w:color w:val="006600"/>
          <w:sz w:val="22"/>
          <w:szCs w:val="22"/>
        </w:rPr>
        <w:t>:</w:t>
      </w:r>
      <w:r w:rsidR="00FC6982" w:rsidRPr="007944F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28E943" w14:textId="77777777" w:rsidR="004D4595" w:rsidRPr="007944FE" w:rsidRDefault="004D4595" w:rsidP="0078774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2897F11" w14:textId="77777777" w:rsidR="004D4595" w:rsidRPr="007944FE" w:rsidRDefault="00BF7F1B" w:rsidP="00787741">
      <w:pPr>
        <w:jc w:val="both"/>
        <w:outlineLvl w:val="0"/>
        <w:rPr>
          <w:rFonts w:asciiTheme="minorHAnsi" w:hAnsiTheme="minorHAnsi" w:cs="Arial"/>
          <w:b/>
          <w:color w:val="006600"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Explanation of Nomination</w:t>
      </w:r>
      <w:r w:rsidR="00CB268D">
        <w:rPr>
          <w:rFonts w:asciiTheme="minorHAnsi" w:hAnsiTheme="minorHAnsi" w:cs="Arial"/>
          <w:b/>
          <w:color w:val="006600"/>
          <w:sz w:val="22"/>
          <w:szCs w:val="22"/>
        </w:rPr>
        <w:t>:</w:t>
      </w:r>
    </w:p>
    <w:p w14:paraId="0FDC6CD8" w14:textId="77777777" w:rsidR="00BF7F1B" w:rsidRPr="007944FE" w:rsidRDefault="004D4595" w:rsidP="00787741">
      <w:pPr>
        <w:jc w:val="both"/>
        <w:rPr>
          <w:rFonts w:asciiTheme="minorHAnsi" w:hAnsiTheme="minorHAnsi" w:cs="Arial"/>
          <w:sz w:val="22"/>
          <w:szCs w:val="22"/>
        </w:rPr>
      </w:pPr>
      <w:r w:rsidRPr="007944FE">
        <w:rPr>
          <w:rFonts w:asciiTheme="minorHAnsi" w:hAnsiTheme="minorHAnsi" w:cs="Arial"/>
          <w:sz w:val="22"/>
          <w:szCs w:val="22"/>
        </w:rPr>
        <w:t xml:space="preserve">Please provide a thoughtful nomination statement of why you are nominating this employee to be recognized as Employee of the Year.  </w:t>
      </w:r>
      <w:r w:rsidR="00B0306A" w:rsidRPr="007944FE">
        <w:rPr>
          <w:rFonts w:asciiTheme="minorHAnsi" w:hAnsiTheme="minorHAnsi" w:cs="Arial"/>
          <w:sz w:val="22"/>
          <w:szCs w:val="22"/>
        </w:rPr>
        <w:t xml:space="preserve">Your narrative should convey how the organizational values are reflected in this employee’s performance. </w:t>
      </w:r>
      <w:r w:rsidR="009927C1">
        <w:rPr>
          <w:rFonts w:asciiTheme="minorHAnsi" w:hAnsiTheme="minorHAnsi" w:cs="Arial"/>
          <w:sz w:val="22"/>
          <w:szCs w:val="22"/>
        </w:rPr>
        <w:t xml:space="preserve"> You should choose the most relevant IDL value</w:t>
      </w:r>
      <w:r w:rsidR="00AA78A2">
        <w:rPr>
          <w:rFonts w:asciiTheme="minorHAnsi" w:hAnsiTheme="minorHAnsi" w:cs="Arial"/>
          <w:sz w:val="22"/>
          <w:szCs w:val="22"/>
        </w:rPr>
        <w:t xml:space="preserve"> (please choose one to focus on)</w:t>
      </w:r>
      <w:r w:rsidR="009927C1">
        <w:rPr>
          <w:rFonts w:asciiTheme="minorHAnsi" w:hAnsiTheme="minorHAnsi" w:cs="Arial"/>
          <w:sz w:val="22"/>
          <w:szCs w:val="22"/>
        </w:rPr>
        <w:t xml:space="preserve"> and provide r</w:t>
      </w:r>
      <w:r w:rsidRPr="007944FE">
        <w:rPr>
          <w:rFonts w:asciiTheme="minorHAnsi" w:hAnsiTheme="minorHAnsi" w:cs="Arial"/>
          <w:sz w:val="22"/>
          <w:szCs w:val="22"/>
        </w:rPr>
        <w:t>elevant examples of accomplishments and contributions that set your nominee apart as an outstanding employee.</w:t>
      </w:r>
      <w:r w:rsidR="00B0306A" w:rsidRPr="007944FE">
        <w:rPr>
          <w:rFonts w:asciiTheme="minorHAnsi" w:hAnsiTheme="minorHAnsi" w:cs="Arial"/>
          <w:sz w:val="22"/>
          <w:szCs w:val="22"/>
        </w:rPr>
        <w:t xml:space="preserve"> </w:t>
      </w:r>
      <w:r w:rsidR="00AA78A2">
        <w:rPr>
          <w:rFonts w:asciiTheme="minorHAnsi" w:hAnsiTheme="minorHAnsi" w:cs="Arial"/>
          <w:sz w:val="22"/>
          <w:szCs w:val="22"/>
        </w:rPr>
        <w:t xml:space="preserve">  </w:t>
      </w:r>
    </w:p>
    <w:p w14:paraId="164860C1" w14:textId="77777777" w:rsidR="00BF7F1B" w:rsidRPr="007944FE" w:rsidRDefault="00BF7F1B" w:rsidP="00787741">
      <w:pPr>
        <w:jc w:val="both"/>
        <w:rPr>
          <w:rFonts w:asciiTheme="minorHAnsi" w:hAnsiTheme="minorHAnsi" w:cs="Arial"/>
          <w:sz w:val="22"/>
          <w:szCs w:val="22"/>
        </w:rPr>
      </w:pPr>
    </w:p>
    <w:p w14:paraId="71B48E1F" w14:textId="77777777" w:rsidR="004D4595" w:rsidRPr="007944FE" w:rsidRDefault="007944FE" w:rsidP="0078774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&lt;&lt;Type Here&gt;&gt;</w:t>
      </w:r>
    </w:p>
    <w:p w14:paraId="36BD3C70" w14:textId="77777777" w:rsidR="004D4595" w:rsidRPr="007944FE" w:rsidRDefault="004D4595" w:rsidP="00787741">
      <w:pPr>
        <w:jc w:val="both"/>
        <w:rPr>
          <w:rFonts w:asciiTheme="minorHAnsi" w:hAnsiTheme="minorHAnsi" w:cs="Arial"/>
          <w:sz w:val="22"/>
          <w:szCs w:val="22"/>
        </w:rPr>
      </w:pPr>
    </w:p>
    <w:p w14:paraId="14C47439" w14:textId="77777777" w:rsidR="00BF7F1B" w:rsidRPr="007944FE" w:rsidRDefault="004D4595" w:rsidP="00787741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Your Name:</w:t>
      </w:r>
      <w:r w:rsidR="00BF7F1B" w:rsidRPr="007944F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FAB78E3" w14:textId="77777777" w:rsidR="004D4595" w:rsidRPr="007944FE" w:rsidRDefault="004D4595" w:rsidP="0078774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0496F91" w14:textId="77777777" w:rsidR="004D4595" w:rsidRPr="007944FE" w:rsidRDefault="004D4595" w:rsidP="00787741">
      <w:pPr>
        <w:jc w:val="both"/>
        <w:rPr>
          <w:rFonts w:asciiTheme="minorHAnsi" w:hAnsiTheme="minorHAnsi" w:cs="Arial"/>
          <w:sz w:val="22"/>
          <w:szCs w:val="22"/>
        </w:rPr>
      </w:pPr>
      <w:r w:rsidRPr="007944FE">
        <w:rPr>
          <w:rFonts w:asciiTheme="minorHAnsi" w:hAnsiTheme="minorHAnsi" w:cs="Arial"/>
          <w:b/>
          <w:color w:val="006600"/>
          <w:sz w:val="22"/>
          <w:szCs w:val="22"/>
        </w:rPr>
        <w:t>Date Submitted:</w:t>
      </w:r>
      <w:r w:rsidR="00BF7F1B" w:rsidRPr="007944FE">
        <w:rPr>
          <w:rFonts w:asciiTheme="minorHAnsi" w:hAnsiTheme="minorHAnsi" w:cs="Arial"/>
          <w:b/>
          <w:color w:val="015B32"/>
          <w:sz w:val="22"/>
          <w:szCs w:val="22"/>
        </w:rPr>
        <w:t xml:space="preserve"> </w:t>
      </w:r>
    </w:p>
    <w:sectPr w:rsidR="004D4595" w:rsidRPr="007944FE" w:rsidSect="00645794">
      <w:headerReference w:type="default" r:id="rId11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79EA" w14:textId="77777777" w:rsidR="00645794" w:rsidRDefault="00645794" w:rsidP="00326321">
      <w:r>
        <w:separator/>
      </w:r>
    </w:p>
  </w:endnote>
  <w:endnote w:type="continuationSeparator" w:id="0">
    <w:p w14:paraId="5BB7CEA4" w14:textId="77777777" w:rsidR="00645794" w:rsidRDefault="00645794" w:rsidP="0032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fino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amesCenturyModer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6907" w14:textId="77777777" w:rsidR="00645794" w:rsidRDefault="00645794" w:rsidP="00326321">
      <w:r>
        <w:separator/>
      </w:r>
    </w:p>
  </w:footnote>
  <w:footnote w:type="continuationSeparator" w:id="0">
    <w:p w14:paraId="79CAC5A5" w14:textId="77777777" w:rsidR="00645794" w:rsidRDefault="00645794" w:rsidP="0032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A3A1" w14:textId="77777777" w:rsidR="00F049B4" w:rsidRDefault="00F049B4">
    <w:pPr>
      <w:pStyle w:val="Header"/>
    </w:pPr>
    <w:r w:rsidRPr="007944FE">
      <w:rPr>
        <w:noProof/>
      </w:rPr>
      <w:drawing>
        <wp:anchor distT="0" distB="0" distL="114300" distR="114300" simplePos="0" relativeHeight="251659264" behindDoc="1" locked="0" layoutInCell="1" allowOverlap="1" wp14:anchorId="12F8A437" wp14:editId="67C07E09">
          <wp:simplePos x="0" y="0"/>
          <wp:positionH relativeFrom="column">
            <wp:posOffset>-41409</wp:posOffset>
          </wp:positionH>
          <wp:positionV relativeFrom="paragraph">
            <wp:posOffset>-42471</wp:posOffset>
          </wp:positionV>
          <wp:extent cx="1145186" cy="671566"/>
          <wp:effectExtent l="19050" t="0" r="0" b="0"/>
          <wp:wrapNone/>
          <wp:docPr id="1" name="Picture 2" descr="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nd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415" cy="671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64B7"/>
    <w:multiLevelType w:val="hybridMultilevel"/>
    <w:tmpl w:val="1E0E4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3BF4"/>
    <w:multiLevelType w:val="hybridMultilevel"/>
    <w:tmpl w:val="A1E44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43EDE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55F0172E"/>
    <w:multiLevelType w:val="hybridMultilevel"/>
    <w:tmpl w:val="E918D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C6C24"/>
    <w:multiLevelType w:val="hybridMultilevel"/>
    <w:tmpl w:val="2340D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7C3449"/>
    <w:multiLevelType w:val="hybridMultilevel"/>
    <w:tmpl w:val="1F6CB354"/>
    <w:lvl w:ilvl="0" w:tplc="3CF62F3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D1D28"/>
    <w:multiLevelType w:val="hybridMultilevel"/>
    <w:tmpl w:val="F4587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389338">
    <w:abstractNumId w:val="3"/>
  </w:num>
  <w:num w:numId="2" w16cid:durableId="1316110999">
    <w:abstractNumId w:val="6"/>
  </w:num>
  <w:num w:numId="3" w16cid:durableId="1064260577">
    <w:abstractNumId w:val="0"/>
  </w:num>
  <w:num w:numId="4" w16cid:durableId="954561491">
    <w:abstractNumId w:val="5"/>
  </w:num>
  <w:num w:numId="5" w16cid:durableId="645085591">
    <w:abstractNumId w:val="4"/>
  </w:num>
  <w:num w:numId="6" w16cid:durableId="2097899993">
    <w:abstractNumId w:val="1"/>
  </w:num>
  <w:num w:numId="7" w16cid:durableId="1328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C3"/>
    <w:rsid w:val="001875F1"/>
    <w:rsid w:val="001968DD"/>
    <w:rsid w:val="001A0D28"/>
    <w:rsid w:val="001A6CBE"/>
    <w:rsid w:val="00263496"/>
    <w:rsid w:val="002635C9"/>
    <w:rsid w:val="002E685A"/>
    <w:rsid w:val="00326321"/>
    <w:rsid w:val="00346BDC"/>
    <w:rsid w:val="00351706"/>
    <w:rsid w:val="003762B7"/>
    <w:rsid w:val="00394464"/>
    <w:rsid w:val="003B5EAE"/>
    <w:rsid w:val="003D7184"/>
    <w:rsid w:val="00415859"/>
    <w:rsid w:val="00423975"/>
    <w:rsid w:val="00433EFA"/>
    <w:rsid w:val="00464492"/>
    <w:rsid w:val="00470573"/>
    <w:rsid w:val="00470EBD"/>
    <w:rsid w:val="004765EB"/>
    <w:rsid w:val="004A045D"/>
    <w:rsid w:val="004C1BE1"/>
    <w:rsid w:val="004D4595"/>
    <w:rsid w:val="004D6202"/>
    <w:rsid w:val="004E6812"/>
    <w:rsid w:val="00567B41"/>
    <w:rsid w:val="005C0EE9"/>
    <w:rsid w:val="005D4DC2"/>
    <w:rsid w:val="00645794"/>
    <w:rsid w:val="006F28C7"/>
    <w:rsid w:val="006F7E19"/>
    <w:rsid w:val="00707AC5"/>
    <w:rsid w:val="00711243"/>
    <w:rsid w:val="00742944"/>
    <w:rsid w:val="007558F7"/>
    <w:rsid w:val="00756DE6"/>
    <w:rsid w:val="00787741"/>
    <w:rsid w:val="00790217"/>
    <w:rsid w:val="007944FE"/>
    <w:rsid w:val="007E520F"/>
    <w:rsid w:val="00825283"/>
    <w:rsid w:val="00834800"/>
    <w:rsid w:val="00882D7E"/>
    <w:rsid w:val="009351EB"/>
    <w:rsid w:val="009418C5"/>
    <w:rsid w:val="00960580"/>
    <w:rsid w:val="00982271"/>
    <w:rsid w:val="009927C1"/>
    <w:rsid w:val="009C0315"/>
    <w:rsid w:val="009C4567"/>
    <w:rsid w:val="00A340DB"/>
    <w:rsid w:val="00A50329"/>
    <w:rsid w:val="00A57AC5"/>
    <w:rsid w:val="00A6724A"/>
    <w:rsid w:val="00A83851"/>
    <w:rsid w:val="00AA07F9"/>
    <w:rsid w:val="00AA323E"/>
    <w:rsid w:val="00AA78A2"/>
    <w:rsid w:val="00AC5BF5"/>
    <w:rsid w:val="00AE34DC"/>
    <w:rsid w:val="00B0306A"/>
    <w:rsid w:val="00B322C3"/>
    <w:rsid w:val="00B46B46"/>
    <w:rsid w:val="00B64141"/>
    <w:rsid w:val="00BB1AC8"/>
    <w:rsid w:val="00BE0340"/>
    <w:rsid w:val="00BF3993"/>
    <w:rsid w:val="00BF7F1B"/>
    <w:rsid w:val="00C124AD"/>
    <w:rsid w:val="00C22727"/>
    <w:rsid w:val="00C711FC"/>
    <w:rsid w:val="00CB268D"/>
    <w:rsid w:val="00CC3270"/>
    <w:rsid w:val="00CC5CA2"/>
    <w:rsid w:val="00D265D4"/>
    <w:rsid w:val="00DA634E"/>
    <w:rsid w:val="00DB79FB"/>
    <w:rsid w:val="00E66581"/>
    <w:rsid w:val="00EE2693"/>
    <w:rsid w:val="00F049B4"/>
    <w:rsid w:val="00F54B6F"/>
    <w:rsid w:val="00F625C5"/>
    <w:rsid w:val="00FB5BD8"/>
    <w:rsid w:val="00FC6982"/>
    <w:rsid w:val="00FE0D8E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C390"/>
  <w15:docId w15:val="{81044A20-8D64-4097-B24C-034774E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6812"/>
    <w:rPr>
      <w:color w:val="0000FF"/>
      <w:u w:val="single"/>
    </w:rPr>
  </w:style>
  <w:style w:type="paragraph" w:styleId="DocumentMap">
    <w:name w:val="Document Map"/>
    <w:basedOn w:val="Normal"/>
    <w:semiHidden/>
    <w:rsid w:val="00960580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90217"/>
    <w:pPr>
      <w:ind w:left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32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CCFF99A738C44A98A1B5F37CF1564" ma:contentTypeVersion="12" ma:contentTypeDescription="Create a new document." ma:contentTypeScope="" ma:versionID="370dd7b89900de94d8f43e7b355f0706">
  <xsd:schema xmlns:xsd="http://www.w3.org/2001/XMLSchema" xmlns:xs="http://www.w3.org/2001/XMLSchema" xmlns:p="http://schemas.microsoft.com/office/2006/metadata/properties" xmlns:ns2="a492509c-b35e-46d0-919c-32d2d9b1abc7" xmlns:ns3="4bddbc36-7c63-41d9-986c-a19d01370699" targetNamespace="http://schemas.microsoft.com/office/2006/metadata/properties" ma:root="true" ma:fieldsID="0354f564029dc0a270f7f66db8141a70" ns2:_="" ns3:_="">
    <xsd:import namespace="a492509c-b35e-46d0-919c-32d2d9b1abc7"/>
    <xsd:import namespace="4bddbc36-7c63-41d9-986c-a19d01370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2509c-b35e-46d0-919c-32d2d9b1a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6d456f-63c2-45c9-8db7-b11a1b98a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dbc36-7c63-41d9-986c-a19d013706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3536ea-e816-4d15-877e-14212f4e5580}" ma:internalName="TaxCatchAll" ma:showField="CatchAllData" ma:web="4bddbc36-7c63-41d9-986c-a19d01370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dbc36-7c63-41d9-986c-a19d01370699" xsi:nil="true"/>
    <lcf76f155ced4ddcb4097134ff3c332f xmlns="a492509c-b35e-46d0-919c-32d2d9b1ab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9CBA6-1423-4FF6-BC57-3BC86282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2509c-b35e-46d0-919c-32d2d9b1abc7"/>
    <ds:schemaRef ds:uri="4bddbc36-7c63-41d9-986c-a19d01370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E8E6D-F167-4E19-B29C-6D16FB146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A274E-9A4F-41E8-B192-1000E9EC8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C0520-C95C-4CC7-B0A4-A68B6263F9E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bddbc36-7c63-41d9-986c-a19d01370699"/>
    <ds:schemaRef ds:uri="http://schemas.microsoft.com/office/2006/documentManagement/types"/>
    <ds:schemaRef ds:uri="a492509c-b35e-46d0-919c-32d2d9b1abc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Department of Lands Employee of the Year</vt:lpstr>
    </vt:vector>
  </TitlesOfParts>
  <Company>Idaho Department of Lands</Company>
  <LinksUpToDate>false</LinksUpToDate>
  <CharactersWithSpaces>3174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mailto:tsargent@idl.idaho.gov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Department of Lands Employee of the Year</dc:title>
  <dc:creator>Division of Human Resources</dc:creator>
  <cp:lastModifiedBy>Michele Andersen</cp:lastModifiedBy>
  <cp:revision>2</cp:revision>
  <cp:lastPrinted>2023-01-30T21:46:00Z</cp:lastPrinted>
  <dcterms:created xsi:type="dcterms:W3CDTF">2024-03-12T19:21:00Z</dcterms:created>
  <dcterms:modified xsi:type="dcterms:W3CDTF">2024-03-12T19:21:00Z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0x010100535CCFF99A738C44A98A1B5F37CF1564</vt:lpwstr>
  </property>
</Properties>
</file>