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BE2E0B" w:rsidRPr="00EB4887" w14:paraId="6A920DF5" w14:textId="77777777" w:rsidTr="00BE2E0B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E2E0B" w:rsidRPr="00EB4887" w14:paraId="49CC047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14:paraId="679CCCD4" w14:textId="77777777" w:rsidR="00BE2E0B" w:rsidRPr="00EB4887" w:rsidRDefault="00BE2E0B" w:rsidP="00220AB2">
                  <w:pPr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</w:rPr>
                  </w:pPr>
                  <w:r w:rsidRPr="00EB4887"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</w:rPr>
                    <w:t>     </w:t>
                  </w:r>
                </w:p>
                <w:tbl>
                  <w:tblPr>
                    <w:tblW w:w="4767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7"/>
                  </w:tblGrid>
                  <w:tr w:rsidR="0070439B" w:rsidRPr="00EB4887" w14:paraId="6C07C449" w14:textId="77777777" w:rsidTr="0070439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056AC4AD" w14:textId="77777777" w:rsidR="0070439B" w:rsidRPr="00EB4887" w:rsidRDefault="0070439B">
                        <w:pPr>
                          <w:rPr>
                            <w:rFonts w:ascii="Times New Roman" w:eastAsia="Gulim" w:hAnsi="Times New Roman" w:cs="Times New Roman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noProof/>
                            <w:color w:val="0000FF"/>
                            <w:lang w:eastAsia="en-US"/>
                          </w:rPr>
                          <w:drawing>
                            <wp:inline distT="0" distB="0" distL="0" distR="0" wp14:anchorId="1B5017C1" wp14:editId="6AAC1569">
                              <wp:extent cx="2733675" cy="1047750"/>
                              <wp:effectExtent l="0" t="0" r="9525" b="0"/>
                              <wp:docPr id="1" name="Picture 1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3675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1022181" w14:textId="77777777" w:rsidR="00BE2E0B" w:rsidRPr="00EB4887" w:rsidRDefault="00BE2E0B" w:rsidP="00BE2E0B">
                  <w:pPr>
                    <w:jc w:val="center"/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2D32DD5" w14:textId="77777777" w:rsidR="00BE2E0B" w:rsidRPr="00EB4887" w:rsidRDefault="00BE2E0B" w:rsidP="00BE2E0B">
            <w:pPr>
              <w:jc w:val="center"/>
              <w:rPr>
                <w:rFonts w:ascii="Times New Roman" w:eastAsia="Gulim" w:hAnsi="Times New Roman" w:cs="Times New Roman"/>
                <w:sz w:val="20"/>
                <w:szCs w:val="20"/>
              </w:rPr>
            </w:pPr>
          </w:p>
        </w:tc>
      </w:tr>
    </w:tbl>
    <w:p w14:paraId="002E5815" w14:textId="77777777" w:rsidR="00BE2E0B" w:rsidRPr="00EB4887" w:rsidRDefault="00BE2E0B" w:rsidP="00BE2E0B">
      <w:pPr>
        <w:rPr>
          <w:rFonts w:ascii="Times New Roman" w:eastAsia="Gulim" w:hAnsi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0"/>
      </w:tblGrid>
      <w:tr w:rsidR="00BE2E0B" w:rsidRPr="00EB4887" w14:paraId="55A99DCF" w14:textId="77777777" w:rsidTr="00BE2E0B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E2E0B" w:rsidRPr="00EB4887" w14:paraId="659C6321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BE2E0B" w:rsidRPr="00EB4887" w14:paraId="4F1B96B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300" w:type="dxa"/>
                          <w:bottom w:w="135" w:type="dxa"/>
                          <w:right w:w="300" w:type="dxa"/>
                        </w:tcMar>
                        <w:hideMark/>
                      </w:tcPr>
                      <w:p w14:paraId="0CF5DC92" w14:textId="77777777" w:rsidR="00BE2E0B" w:rsidRPr="00EB4887" w:rsidRDefault="00BE2E0B" w:rsidP="00BE2E0B">
                        <w:pPr>
                          <w:jc w:val="center"/>
                          <w:rPr>
                            <w:rFonts w:ascii="Times New Roman" w:eastAsia="Gulim" w:hAnsi="Times New Roman" w:cs="Times New Roman"/>
                            <w:color w:val="FF0000"/>
                            <w:sz w:val="44"/>
                            <w:szCs w:val="44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소비자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알림</w:t>
                        </w:r>
                      </w:p>
                    </w:tc>
                  </w:tr>
                </w:tbl>
                <w:p w14:paraId="707101B8" w14:textId="77777777" w:rsidR="00BE2E0B" w:rsidRPr="00EB4887" w:rsidRDefault="00BE2E0B" w:rsidP="00BE2E0B">
                  <w:pPr>
                    <w:jc w:val="center"/>
                    <w:rPr>
                      <w:rFonts w:ascii="Times New Roman" w:eastAsia="Gulim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BE2E0B" w:rsidRPr="00EB4887" w14:paraId="227170C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300" w:type="dxa"/>
                          <w:bottom w:w="135" w:type="dxa"/>
                          <w:right w:w="300" w:type="dxa"/>
                        </w:tcMar>
                        <w:hideMark/>
                      </w:tcPr>
                      <w:p w14:paraId="3A5BE34F" w14:textId="77777777" w:rsidR="00BE2E0B" w:rsidRPr="00EB4887" w:rsidRDefault="00BE2E0B" w:rsidP="00BE2E0B">
                        <w:pPr>
                          <w:jc w:val="center"/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</w:rPr>
                          <w:t> </w:t>
                        </w:r>
                      </w:p>
                      <w:p w14:paraId="722C2417" w14:textId="77777777" w:rsidR="00BE2E0B" w:rsidRPr="00EB4887" w:rsidRDefault="00BE2E0B" w:rsidP="00BE2E0B">
                        <w:pPr>
                          <w:jc w:val="center"/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OPC, COVID-19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건강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비상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유틸리티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소비자를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위한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추가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보호에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대한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DC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의회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통과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높이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4DB4"/>
                            <w:sz w:val="36"/>
                            <w:szCs w:val="36"/>
                          </w:rPr>
                          <w:t>평가</w:t>
                        </w:r>
                      </w:p>
                    </w:tc>
                  </w:tr>
                </w:tbl>
                <w:p w14:paraId="74FF7341" w14:textId="77777777" w:rsidR="00BE2E0B" w:rsidRPr="00EB4887" w:rsidRDefault="00BE2E0B" w:rsidP="00BE2E0B">
                  <w:pPr>
                    <w:jc w:val="center"/>
                    <w:rPr>
                      <w:rFonts w:ascii="Times New Roman" w:eastAsia="Gulim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BE2E0B" w:rsidRPr="00EB4887" w14:paraId="3514493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300" w:type="dxa"/>
                          <w:bottom w:w="135" w:type="dxa"/>
                          <w:right w:w="300" w:type="dxa"/>
                        </w:tcMar>
                        <w:hideMark/>
                      </w:tcPr>
                      <w:p w14:paraId="06F567F9" w14:textId="77777777" w:rsidR="00BE2E0B" w:rsidRPr="00EB4887" w:rsidRDefault="00BE2E0B" w:rsidP="00BE2E0B">
                        <w:pPr>
                          <w:jc w:val="center"/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0FA2698B" w14:textId="77777777" w:rsidR="00BE2E0B" w:rsidRPr="00EB4887" w:rsidRDefault="00BE2E0B" w:rsidP="00BE2E0B">
                        <w:pPr>
                          <w:jc w:val="center"/>
                          <w:rPr>
                            <w:rFonts w:ascii="Times New Roman" w:eastAsia="Gulim" w:hAnsi="Times New Roman" w:cs="Times New Roman"/>
                            <w:color w:val="FF0000"/>
                            <w:sz w:val="36"/>
                            <w:szCs w:val="36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2020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 xml:space="preserve"> 4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 xml:space="preserve"> 8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일</w:t>
                        </w:r>
                      </w:p>
                      <w:p w14:paraId="64B7A1CE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73C75165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컬럼비아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특별구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자문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Sandra </w:t>
                        </w:r>
                        <w:proofErr w:type="spellStart"/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Mattavous</w:t>
                        </w:r>
                        <w:proofErr w:type="spellEnd"/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-Frye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DC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소비자들에게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어제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DC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의회가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승인한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유틸리티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회사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고객을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마련한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새로운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구제책을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알려드리고자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합니다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OPC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직원은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공중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보건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긴급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상황에서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Verizon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미납에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지역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고객의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서비스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연결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중단을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금지하는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2020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'COVID-19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대응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추가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긴급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개정법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'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에서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언어를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개발하기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의회와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협력했습니다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 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무엇보다도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모든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케이블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및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인터넷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서비스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제공업체의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차단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또한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금지합니다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408A8FAB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1EB67641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OPC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또한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3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17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첫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긴급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법안이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통과되기에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앞서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의회와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협의를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진행했습니다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코로나바이러스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기간에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천연가스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유틸리티를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고객의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미납에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공급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중단하는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것을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금지하고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 </w:t>
                        </w:r>
                      </w:p>
                      <w:p w14:paraId="58E35B00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5270277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그러나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통신업체는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포함되지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않았습니다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 OPC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모든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지역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유틸리티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소비자를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법적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옹호자로서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유틸리티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감독을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통해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사업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경제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개발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위원회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위원장인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Kenyan McDuffie 5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구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의원에게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Verizon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고객들에게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동일한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구제책을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제공할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것을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권고했습니다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   </w:t>
                        </w:r>
                      </w:p>
                      <w:p w14:paraId="6496658C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78C28F49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자문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Mattavous</w:t>
                        </w:r>
                        <w:proofErr w:type="spellEnd"/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-Frye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우리는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주민을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보호하기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위해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차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긴급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법안에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추가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조치를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취한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McDuffie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의원과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의회의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다른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의원들에게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박수를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보낸다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”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말했습니다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  "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없는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시기에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건강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전문가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그리고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사랑하는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사람들과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계속해서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연락을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유지하는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것은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매우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중요한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일입니다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 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곧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삶과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죽음의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차이를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의미할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우리는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COVID-19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유행병에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종합적인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대응에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모든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의원과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Muriel Bowser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시장님께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감사드립니다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.”</w:t>
                        </w:r>
                      </w:p>
                      <w:p w14:paraId="5AFFE525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26069F93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이번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차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긴급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법안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또한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요금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체납액이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있는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저소득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DC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거주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고객이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맑은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강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불투수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면적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사용료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(Clean Rivers Impervious Area Charge, CRIAC)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지원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기금의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재정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지원을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신청할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있도록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  OPC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2019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4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11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DC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소비자의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대변인이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되었습니다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672489CA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  <w:p w14:paraId="7FC6FDD8" w14:textId="02D215F0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시장의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재택근무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명령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기간에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OPC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직원은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수도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전기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천연가스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그리고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지역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전화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시설과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관련된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소비자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불만에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계속해서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대응해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왔습니다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소비자는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(202) 727-3071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번으로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연락하여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서비스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또는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청구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문제에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대한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도움을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>요청하거나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hyperlink r:id="rId9" w:history="1"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 xml:space="preserve">@ opc-dc.gov 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온라인에서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불만을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제기하실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수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있습니다</w:t>
                          </w:r>
                          <w:r w:rsidRPr="00EB4887">
                            <w:rPr>
                              <w:rFonts w:ascii="Times New Roman" w:eastAsia="Gulim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</w:hyperlink>
                        <w:bookmarkStart w:id="0" w:name="_GoBack"/>
                        <w:bookmarkEnd w:id="0"/>
                      </w:p>
                      <w:p w14:paraId="10054427" w14:textId="77777777" w:rsidR="00BE2E0B" w:rsidRPr="00EB4887" w:rsidRDefault="00BE2E0B" w:rsidP="00BE2E0B">
                        <w:pPr>
                          <w:spacing w:after="280"/>
                          <w:rPr>
                            <w:rFonts w:ascii="Times New Roman" w:eastAsia="Gulim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64A5E0F" w14:textId="77777777" w:rsidR="00BE2E0B" w:rsidRPr="00EB4887" w:rsidRDefault="00BE2E0B" w:rsidP="00BE2E0B">
                  <w:pPr>
                    <w:jc w:val="center"/>
                    <w:rPr>
                      <w:rFonts w:ascii="Times New Roman" w:eastAsia="Gulim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0"/>
                  </w:tblGrid>
                  <w:tr w:rsidR="00BE2E0B" w:rsidRPr="00EB4887" w14:paraId="2B0356A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0" w:type="dxa"/>
                          <w:left w:w="300" w:type="dxa"/>
                          <w:bottom w:w="135" w:type="dxa"/>
                          <w:right w:w="300" w:type="dxa"/>
                        </w:tcMar>
                        <w:hideMark/>
                      </w:tcPr>
                      <w:p w14:paraId="4E07486E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373737"/>
                            <w:sz w:val="22"/>
                            <w:szCs w:val="22"/>
                          </w:rPr>
                          <w:t>미디어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373737"/>
                            <w:sz w:val="22"/>
                            <w:szCs w:val="22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373737"/>
                            <w:sz w:val="22"/>
                            <w:szCs w:val="22"/>
                          </w:rPr>
                          <w:t>연락처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373737"/>
                            <w:sz w:val="22"/>
                            <w:szCs w:val="22"/>
                          </w:rPr>
                          <w:t>:</w:t>
                        </w:r>
                      </w:p>
                      <w:p w14:paraId="08727BC8" w14:textId="77777777" w:rsidR="00BE2E0B" w:rsidRPr="00EB4887" w:rsidRDefault="00BE2E0B" w:rsidP="00BE2E0B">
                        <w:pPr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</w:pPr>
                        <w:r w:rsidRPr="00EB4887">
                          <w:rPr>
                            <w:rFonts w:ascii="Times New Roman" w:eastAsia="Gulim" w:hAnsi="Times New Roman" w:cs="Times New Roman"/>
                            <w:b/>
                            <w:bCs/>
                            <w:color w:val="373737"/>
                            <w:sz w:val="22"/>
                            <w:szCs w:val="22"/>
                          </w:rPr>
                          <w:br/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>도시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 xml:space="preserve"> 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>매코이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>(</w:t>
                        </w:r>
                        <w:proofErr w:type="spellStart"/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>Doxie</w:t>
                        </w:r>
                        <w:proofErr w:type="spellEnd"/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 xml:space="preserve"> McCoy)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cr/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br/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t>공보담당관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cr/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br/>
                          <w:t>(202) 261-1180</w:t>
                        </w:r>
                        <w:r w:rsidRPr="00EB4887">
                          <w:rPr>
                            <w:rFonts w:ascii="Times New Roman" w:eastAsia="Gulim" w:hAnsi="Times New Roman" w:cs="Times New Roman"/>
                            <w:color w:val="373737"/>
                            <w:sz w:val="22"/>
                            <w:szCs w:val="22"/>
                          </w:rPr>
                          <w:br/>
                          <w:t>dmccoy@opc-dc.gov</w:t>
                        </w:r>
                      </w:p>
                    </w:tc>
                  </w:tr>
                </w:tbl>
                <w:p w14:paraId="3A1F80C9" w14:textId="77777777" w:rsidR="00BE2E0B" w:rsidRPr="00EB4887" w:rsidRDefault="00BE2E0B" w:rsidP="00BE2E0B">
                  <w:pPr>
                    <w:jc w:val="center"/>
                    <w:rPr>
                      <w:rFonts w:ascii="Times New Roman" w:eastAsia="Gulim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93C719" w14:textId="77777777" w:rsidR="00BE2E0B" w:rsidRPr="00EB4887" w:rsidRDefault="00BE2E0B" w:rsidP="00BE2E0B">
            <w:pPr>
              <w:jc w:val="center"/>
              <w:rPr>
                <w:rFonts w:ascii="Times New Roman" w:eastAsia="Gulim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37373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E2E0B" w:rsidRPr="00EB4887" w14:paraId="41889D1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73737"/>
                  <w:vAlign w:val="center"/>
                  <w:hideMark/>
                </w:tcPr>
                <w:p w14:paraId="2F49E951" w14:textId="77777777" w:rsidR="00BE2E0B" w:rsidRPr="00EB4887" w:rsidRDefault="00BE2E0B" w:rsidP="00BE2E0B">
                  <w:pPr>
                    <w:rPr>
                      <w:rFonts w:ascii="Times New Roman" w:eastAsia="Gulim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FF854D" w14:textId="77777777" w:rsidR="00BE2E0B" w:rsidRPr="00EB4887" w:rsidRDefault="00BE2E0B" w:rsidP="00BE2E0B">
            <w:pPr>
              <w:jc w:val="center"/>
              <w:rPr>
                <w:rFonts w:ascii="Times New Roman" w:eastAsia="Gulim" w:hAnsi="Times New Roman" w:cs="Times New Roman"/>
                <w:sz w:val="20"/>
                <w:szCs w:val="20"/>
              </w:rPr>
            </w:pPr>
          </w:p>
        </w:tc>
      </w:tr>
    </w:tbl>
    <w:p w14:paraId="6717E8EF" w14:textId="77777777" w:rsidR="001401B1" w:rsidRPr="00EB4887" w:rsidRDefault="001401B1">
      <w:pPr>
        <w:rPr>
          <w:rFonts w:ascii="Times New Roman" w:eastAsia="Gulim" w:hAnsi="Times New Roman" w:cs="Times New Roman"/>
        </w:rPr>
      </w:pPr>
    </w:p>
    <w:sectPr w:rsidR="001401B1" w:rsidRPr="00EB4887" w:rsidSect="00816AC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CA2AE" w14:textId="77777777" w:rsidR="004667BF" w:rsidRDefault="004667BF" w:rsidP="004667BF">
      <w:r>
        <w:separator/>
      </w:r>
    </w:p>
  </w:endnote>
  <w:endnote w:type="continuationSeparator" w:id="0">
    <w:p w14:paraId="20D2FDF9" w14:textId="77777777" w:rsidR="004667BF" w:rsidRDefault="004667BF" w:rsidP="004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7567" w14:textId="42EF2C5F" w:rsidR="004667BF" w:rsidRPr="004667BF" w:rsidRDefault="004667BF" w:rsidP="004667BF">
    <w:pPr>
      <w:rPr>
        <w:rFonts w:ascii="Times" w:eastAsia="Times New Roman" w:hAnsi="Times" w:cs="Times New Roman"/>
        <w:sz w:val="14"/>
        <w:szCs w:val="20"/>
        <w:lang w:eastAsia="en-US"/>
      </w:rPr>
    </w:pPr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OPC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Commends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DC Council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Legislation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to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Safeguard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Consumers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During</w:t>
    </w:r>
    <w:proofErr w:type="spellEnd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COVID-19 </w:t>
    </w:r>
    <w:proofErr w:type="spellStart"/>
    <w:r w:rsidRPr="00800126">
      <w:rPr>
        <w:rFonts w:ascii="Arial" w:eastAsia="Times New Roman" w:hAnsi="Arial" w:cs="Arial"/>
        <w:color w:val="000000"/>
        <w:sz w:val="20"/>
        <w:szCs w:val="27"/>
        <w:lang w:val="es-ES"/>
      </w:rPr>
      <w:t>Emergency</w:t>
    </w:r>
    <w:proofErr w:type="spellEnd"/>
    <w:r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- 2 </w:t>
    </w:r>
    <w:proofErr w:type="spellStart"/>
    <w:r>
      <w:rPr>
        <w:rFonts w:ascii="Arial" w:eastAsia="Times New Roman" w:hAnsi="Arial" w:cs="Arial"/>
        <w:color w:val="000000"/>
        <w:sz w:val="20"/>
        <w:szCs w:val="27"/>
        <w:lang w:val="es-ES"/>
      </w:rPr>
      <w:t>pages</w:t>
    </w:r>
    <w:proofErr w:type="spellEnd"/>
    <w:r>
      <w:rPr>
        <w:rFonts w:ascii="Arial" w:eastAsia="Times New Roman" w:hAnsi="Arial" w:cs="Arial"/>
        <w:color w:val="000000"/>
        <w:sz w:val="20"/>
        <w:szCs w:val="27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BD8A" w14:textId="77777777" w:rsidR="004667BF" w:rsidRDefault="004667BF" w:rsidP="004667BF">
      <w:r>
        <w:separator/>
      </w:r>
    </w:p>
  </w:footnote>
  <w:footnote w:type="continuationSeparator" w:id="0">
    <w:p w14:paraId="0A62EDF6" w14:textId="77777777" w:rsidR="004667BF" w:rsidRDefault="004667BF" w:rsidP="004667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585B5" w14:textId="6C85FE31" w:rsidR="004667BF" w:rsidRPr="004667BF" w:rsidRDefault="004667BF" w:rsidP="004667BF">
    <w:pPr>
      <w:pStyle w:val="Header"/>
      <w:jc w:val="right"/>
      <w:rPr>
        <w:b/>
        <w:sz w:val="28"/>
      </w:rPr>
    </w:pPr>
    <w:r>
      <w:rPr>
        <w:b/>
        <w:sz w:val="28"/>
      </w:rPr>
      <w:t>KOREAN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0B"/>
    <w:rsid w:val="001401B1"/>
    <w:rsid w:val="00220AB2"/>
    <w:rsid w:val="00374578"/>
    <w:rsid w:val="004667BF"/>
    <w:rsid w:val="0070439B"/>
    <w:rsid w:val="00816ACC"/>
    <w:rsid w:val="00BE2E0B"/>
    <w:rsid w:val="00E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FEDD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2E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2E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7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BF"/>
  </w:style>
  <w:style w:type="paragraph" w:styleId="Footer">
    <w:name w:val="footer"/>
    <w:basedOn w:val="Normal"/>
    <w:link w:val="FooterChar"/>
    <w:uiPriority w:val="99"/>
    <w:unhideWhenUsed/>
    <w:rsid w:val="00466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2E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2E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7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BF"/>
  </w:style>
  <w:style w:type="paragraph" w:styleId="Footer">
    <w:name w:val="footer"/>
    <w:basedOn w:val="Normal"/>
    <w:link w:val="FooterChar"/>
    <w:uiPriority w:val="99"/>
    <w:unhideWhenUsed/>
    <w:rsid w:val="004667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4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0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opc-dc.gov/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opc-dc.gov/consumer-assistance/consumer-corner/file-a-complain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</dc:creator>
  <cp:keywords/>
  <dc:description/>
  <cp:lastModifiedBy>Graphics</cp:lastModifiedBy>
  <cp:revision>6</cp:revision>
  <dcterms:created xsi:type="dcterms:W3CDTF">2020-04-09T15:12:00Z</dcterms:created>
  <dcterms:modified xsi:type="dcterms:W3CDTF">2020-04-14T18:31:00Z</dcterms:modified>
</cp:coreProperties>
</file>