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640"/>
      </w:tblGrid>
      <w:tr w:rsidR="00BE2E0B" w:rsidRPr="00BE2E0B" w14:paraId="6A920DF5" w14:textId="77777777" w:rsidTr="00BE2E0B">
        <w:trPr>
          <w:tblCellSpacing w:w="0" w:type="dxa"/>
        </w:trPr>
        <w:tc>
          <w:tcPr>
            <w:tcW w:w="5000" w:type="pct"/>
            <w:tcMar>
              <w:top w:w="0" w:type="dxa"/>
              <w:left w:w="0" w:type="dxa"/>
              <w:bottom w:w="12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BE2E0B" w14:paraId="49CC0471" w14:textId="77777777">
              <w:trPr>
                <w:tblCellSpacing w:w="0" w:type="dxa"/>
                <w:jc w:val="center"/>
              </w:trPr>
              <w:tc>
                <w:tcPr>
                  <w:tcW w:w="0" w:type="auto"/>
                  <w:tcMar>
                    <w:top w:w="120" w:type="dxa"/>
                    <w:left w:w="0" w:type="dxa"/>
                    <w:bottom w:w="135" w:type="dxa"/>
                    <w:right w:w="0" w:type="dxa"/>
                  </w:tcMar>
                  <w:hideMark/>
                </w:tcPr>
                <w:p w14:paraId="679CCCD4" w14:textId="77777777" w:rsidR="00BE2E0B" w:rsidRPr="00BE2E0B" w:rsidRDefault="00BE2E0B" w:rsidP="00BE2E0B">
                  <w:pPr>
                    <w:jc w:val="center"/>
                    <w:rPr>
                      <w:rFonts w:ascii="Times" w:eastAsia="Times New Roman" w:hAnsi="Times" w:cs="Times New Roman"/>
                      <w:color w:val="000000"/>
                      <w:sz w:val="20"/>
                      <w:szCs w:val="20"/>
                    </w:rPr>
                  </w:pPr>
                  <w:r w:rsidRPr="00BE2E0B">
                    <w:rPr>
                      <w:rFonts w:ascii="Times" w:eastAsia="Times New Roman" w:hAnsi="Times" w:cs="Times New Roman"/>
                      <w:color w:val="000000"/>
                      <w:sz w:val="20"/>
                      <w:szCs w:val="20"/>
                    </w:rPr>
                    <w:t>     </w:t>
                  </w:r>
                </w:p>
                <w:tbl>
                  <w:tblPr>
                    <w:tblW w:w="4767" w:type="dxa"/>
                    <w:jc w:val="center"/>
                    <w:tblCellSpacing w:w="0" w:type="dxa"/>
                    <w:tblCellMar>
                      <w:left w:w="0" w:type="dxa"/>
                      <w:right w:w="0" w:type="dxa"/>
                    </w:tblCellMar>
                    <w:tblLook w:val="04A0" w:firstRow="1" w:lastRow="0" w:firstColumn="1" w:lastColumn="0" w:noHBand="0" w:noVBand="1"/>
                  </w:tblPr>
                  <w:tblGrid>
                    <w:gridCol w:w="4767"/>
                  </w:tblGrid>
                  <w:tr w:rsidR="0070439B" w:rsidRPr="00BE2E0B" w14:paraId="6C07C449" w14:textId="77777777" w:rsidTr="0070439B">
                    <w:trPr>
                      <w:tblCellSpacing w:w="0" w:type="dxa"/>
                      <w:jc w:val="center"/>
                    </w:trPr>
                    <w:tc>
                      <w:tcPr>
                        <w:tcW w:w="5000" w:type="pct"/>
                        <w:hideMark/>
                      </w:tcPr>
                      <w:p w14:paraId="056AC4AD" w14:textId="77777777" w:rsidR="0070439B" w:rsidRDefault="0070439B">
                        <w:r w:rsidRPr="005C407D">
                          <w:rPr>
                            <w:noProof/>
                            <w:color w:val="0000FF"/>
                          </w:rPr>
                          <w:drawing>
                            <wp:inline distT="0" distB="0" distL="0" distR="0" wp14:anchorId="1B5017C1" wp14:editId="6AAC1569">
                              <wp:extent cx="2733675" cy="1047750"/>
                              <wp:effectExtent l="0" t="0" r="9525"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047750"/>
                                      </a:xfrm>
                                      <a:prstGeom prst="rect">
                                        <a:avLst/>
                                      </a:prstGeom>
                                      <a:noFill/>
                                      <a:ln>
                                        <a:noFill/>
                                      </a:ln>
                                    </pic:spPr>
                                  </pic:pic>
                                </a:graphicData>
                              </a:graphic>
                            </wp:inline>
                          </w:drawing>
                        </w:r>
                      </w:p>
                    </w:tc>
                  </w:tr>
                </w:tbl>
                <w:p w14:paraId="01022181" w14:textId="77777777" w:rsidR="00BE2E0B" w:rsidRPr="00BE2E0B" w:rsidRDefault="00BE2E0B" w:rsidP="00BE2E0B">
                  <w:pPr>
                    <w:jc w:val="center"/>
                    <w:rPr>
                      <w:rFonts w:ascii="Times" w:eastAsia="Times New Roman" w:hAnsi="Times" w:cs="Times New Roman"/>
                      <w:color w:val="000000"/>
                      <w:sz w:val="20"/>
                      <w:szCs w:val="20"/>
                    </w:rPr>
                  </w:pPr>
                </w:p>
              </w:tc>
            </w:tr>
          </w:tbl>
          <w:p w14:paraId="32D32DD5" w14:textId="77777777" w:rsidR="00BE2E0B" w:rsidRPr="00BE2E0B" w:rsidRDefault="00BE2E0B" w:rsidP="00BE2E0B">
            <w:pPr>
              <w:jc w:val="center"/>
              <w:rPr>
                <w:rFonts w:ascii="Times" w:eastAsia="Times New Roman" w:hAnsi="Times" w:cs="Times New Roman"/>
                <w:sz w:val="20"/>
                <w:szCs w:val="20"/>
              </w:rPr>
            </w:pPr>
          </w:p>
        </w:tc>
      </w:tr>
    </w:tbl>
    <w:p w14:paraId="002E5815" w14:textId="77777777" w:rsidR="00BE2E0B" w:rsidRPr="00BE2E0B" w:rsidRDefault="00BE2E0B" w:rsidP="00BE2E0B">
      <w:pPr>
        <w:rPr>
          <w:rFonts w:ascii="Times" w:eastAsia="Times New Roman" w:hAnsi="Times" w:cs="Times New Roman"/>
          <w:vanish/>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0"/>
      </w:tblGrid>
      <w:tr w:rsidR="00BE2E0B" w:rsidRPr="00BE2E0B" w14:paraId="55A99DCF" w14:textId="77777777" w:rsidTr="00BE2E0B">
        <w:trPr>
          <w:tblCellSpacing w:w="0" w:type="dxa"/>
        </w:trPr>
        <w:tc>
          <w:tcPr>
            <w:tcW w:w="5000" w:type="pct"/>
            <w:shd w:val="clear" w:color="auto" w:fill="FFFFFF"/>
            <w:tcMar>
              <w:top w:w="15" w:type="dxa"/>
              <w:left w:w="15" w:type="dxa"/>
              <w:bottom w:w="15" w:type="dxa"/>
              <w:right w:w="15" w:type="dxa"/>
            </w:tcMa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40"/>
            </w:tblGrid>
            <w:tr w:rsidR="00BE2E0B" w:rsidRPr="00BE2E0B" w14:paraId="659C6321" w14:textId="77777777">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BE2E0B" w14:paraId="4F1B96B2" w14:textId="77777777">
                    <w:trPr>
                      <w:tblCellSpacing w:w="0" w:type="dxa"/>
                      <w:jc w:val="center"/>
                    </w:trPr>
                    <w:tc>
                      <w:tcPr>
                        <w:tcW w:w="0" w:type="auto"/>
                        <w:tcMar>
                          <w:top w:w="120" w:type="dxa"/>
                          <w:left w:w="300" w:type="dxa"/>
                          <w:bottom w:w="135" w:type="dxa"/>
                          <w:right w:w="300" w:type="dxa"/>
                        </w:tcMar>
                        <w:hideMark/>
                      </w:tcPr>
                      <w:p w14:paraId="0CF5DC92" w14:textId="77777777" w:rsidR="00BE2E0B" w:rsidRPr="00BE2E0B" w:rsidRDefault="00BE2E0B" w:rsidP="00BE2E0B">
                        <w:pPr>
                          <w:jc w:val="center"/>
                          <w:rPr>
                            <w:rFonts w:ascii="Arial" w:eastAsia="Times New Roman" w:hAnsi="Arial" w:cs="Arial"/>
                            <w:color w:val="FF0000"/>
                            <w:sz w:val="44"/>
                            <w:szCs w:val="44"/>
                          </w:rPr>
                        </w:pPr>
                        <w:r w:rsidRPr="00BE2E0B">
                          <w:rPr>
                            <w:rFonts w:ascii="Arial" w:eastAsia="Times New Roman" w:hAnsi="Arial" w:cs="Arial"/>
                            <w:b/>
                            <w:bCs/>
                            <w:color w:val="FF0000"/>
                            <w:sz w:val="44"/>
                            <w:szCs w:val="44"/>
                          </w:rPr>
                          <w:t>CONSUMER ALERT</w:t>
                        </w:r>
                      </w:p>
                    </w:tc>
                  </w:tr>
                </w:tbl>
                <w:p w14:paraId="707101B8" w14:textId="77777777" w:rsidR="00BE2E0B" w:rsidRPr="00BE2E0B" w:rsidRDefault="00BE2E0B" w:rsidP="00BE2E0B">
                  <w:pPr>
                    <w:jc w:val="center"/>
                    <w:rPr>
                      <w:rFonts w:ascii="Times" w:eastAsia="Times New Roman" w:hAnsi="Times"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BE2E0B" w14:paraId="227170C1" w14:textId="77777777">
                    <w:trPr>
                      <w:tblCellSpacing w:w="0" w:type="dxa"/>
                      <w:jc w:val="center"/>
                    </w:trPr>
                    <w:tc>
                      <w:tcPr>
                        <w:tcW w:w="0" w:type="auto"/>
                        <w:tcMar>
                          <w:top w:w="120" w:type="dxa"/>
                          <w:left w:w="300" w:type="dxa"/>
                          <w:bottom w:w="135" w:type="dxa"/>
                          <w:right w:w="300" w:type="dxa"/>
                        </w:tcMar>
                        <w:hideMark/>
                      </w:tcPr>
                      <w:p w14:paraId="3A5BE34F" w14:textId="77777777" w:rsidR="00BE2E0B" w:rsidRPr="00BE2E0B" w:rsidRDefault="00BE2E0B" w:rsidP="00BE2E0B">
                        <w:pPr>
                          <w:jc w:val="center"/>
                          <w:rPr>
                            <w:rFonts w:ascii="Arial" w:eastAsia="Times New Roman" w:hAnsi="Arial" w:cs="Arial"/>
                            <w:b/>
                            <w:bCs/>
                            <w:color w:val="004DB4"/>
                          </w:rPr>
                        </w:pPr>
                        <w:r w:rsidRPr="00BE2E0B">
                          <w:rPr>
                            <w:rFonts w:ascii="Arial" w:eastAsia="Times New Roman" w:hAnsi="Arial" w:cs="Arial"/>
                            <w:b/>
                            <w:bCs/>
                            <w:color w:val="004DB4"/>
                          </w:rPr>
                          <w:t> </w:t>
                        </w:r>
                      </w:p>
                      <w:p w14:paraId="722C2417" w14:textId="77777777" w:rsidR="00BE2E0B" w:rsidRPr="00BE2E0B" w:rsidRDefault="00BE2E0B" w:rsidP="00BE2E0B">
                        <w:pPr>
                          <w:jc w:val="center"/>
                          <w:rPr>
                            <w:rFonts w:ascii="Arial" w:eastAsia="Times New Roman" w:hAnsi="Arial" w:cs="Arial"/>
                            <w:b/>
                            <w:bCs/>
                            <w:color w:val="004DB4"/>
                            <w:sz w:val="36"/>
                            <w:szCs w:val="36"/>
                          </w:rPr>
                        </w:pPr>
                        <w:r w:rsidRPr="00BE2E0B">
                          <w:rPr>
                            <w:rFonts w:ascii="Arial" w:eastAsia="Times New Roman" w:hAnsi="Arial" w:cs="Arial"/>
                            <w:b/>
                            <w:bCs/>
                            <w:color w:val="004DB4"/>
                            <w:sz w:val="36"/>
                            <w:szCs w:val="36"/>
                          </w:rPr>
                          <w:t>OPC Commends DC Council Passage of Additional Protections for Utility Consumers During COVID-19 Health Emergency</w:t>
                        </w:r>
                      </w:p>
                    </w:tc>
                  </w:tr>
                </w:tbl>
                <w:p w14:paraId="74FF7341" w14:textId="77777777" w:rsidR="00BE2E0B" w:rsidRPr="00BE2E0B" w:rsidRDefault="00BE2E0B" w:rsidP="00BE2E0B">
                  <w:pPr>
                    <w:jc w:val="center"/>
                    <w:rPr>
                      <w:rFonts w:ascii="Times" w:eastAsia="Times New Roman" w:hAnsi="Times" w:cs="Times New Roman"/>
                      <w:vanish/>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40"/>
                  </w:tblGrid>
                  <w:tr w:rsidR="00BE2E0B" w:rsidRPr="00BE2E0B" w14:paraId="3514493C" w14:textId="77777777">
                    <w:trPr>
                      <w:tblCellSpacing w:w="0" w:type="dxa"/>
                      <w:jc w:val="center"/>
                    </w:trPr>
                    <w:tc>
                      <w:tcPr>
                        <w:tcW w:w="0" w:type="auto"/>
                        <w:shd w:val="clear" w:color="auto" w:fill="FFFFFF"/>
                        <w:tcMar>
                          <w:top w:w="120" w:type="dxa"/>
                          <w:left w:w="300" w:type="dxa"/>
                          <w:bottom w:w="135" w:type="dxa"/>
                          <w:right w:w="300" w:type="dxa"/>
                        </w:tcMar>
                        <w:hideMark/>
                      </w:tcPr>
                      <w:p w14:paraId="06F567F9" w14:textId="77777777" w:rsidR="00BE2E0B" w:rsidRPr="00BE2E0B" w:rsidRDefault="00BE2E0B" w:rsidP="00BE2E0B">
                        <w:pPr>
                          <w:jc w:val="center"/>
                          <w:rPr>
                            <w:rFonts w:ascii="Arial" w:eastAsia="Times New Roman" w:hAnsi="Arial" w:cs="Arial"/>
                            <w:color w:val="000000"/>
                            <w:sz w:val="28"/>
                            <w:szCs w:val="28"/>
                          </w:rPr>
                        </w:pPr>
                        <w:r w:rsidRPr="00BE2E0B">
                          <w:rPr>
                            <w:rFonts w:ascii="Arial" w:eastAsia="Times New Roman" w:hAnsi="Arial" w:cs="Arial"/>
                            <w:b/>
                            <w:bCs/>
                            <w:color w:val="000000"/>
                            <w:sz w:val="28"/>
                            <w:szCs w:val="28"/>
                          </w:rPr>
                          <w:t> </w:t>
                        </w:r>
                      </w:p>
                      <w:p w14:paraId="0FA2698B" w14:textId="77777777" w:rsidR="00BE2E0B" w:rsidRPr="00BE2E0B" w:rsidRDefault="00BE2E0B" w:rsidP="00BE2E0B">
                        <w:pPr>
                          <w:jc w:val="center"/>
                          <w:rPr>
                            <w:rFonts w:ascii="Arial" w:eastAsia="Times New Roman" w:hAnsi="Arial" w:cs="Arial"/>
                            <w:color w:val="FF0000"/>
                            <w:sz w:val="36"/>
                            <w:szCs w:val="36"/>
                          </w:rPr>
                        </w:pPr>
                        <w:r w:rsidRPr="00BE2E0B">
                          <w:rPr>
                            <w:rFonts w:ascii="Arial" w:eastAsia="Times New Roman" w:hAnsi="Arial" w:cs="Arial"/>
                            <w:b/>
                            <w:bCs/>
                            <w:color w:val="FF0000"/>
                            <w:sz w:val="36"/>
                            <w:szCs w:val="36"/>
                          </w:rPr>
                          <w:t>April 8, 2020</w:t>
                        </w:r>
                      </w:p>
                      <w:p w14:paraId="64B7A1CE" w14:textId="77777777" w:rsidR="00BE2E0B" w:rsidRPr="00BE2E0B" w:rsidRDefault="00BE2E0B" w:rsidP="00BE2E0B">
                        <w:pPr>
                          <w:rPr>
                            <w:rFonts w:ascii="Arial" w:eastAsia="Times New Roman" w:hAnsi="Arial" w:cs="Arial"/>
                            <w:color w:val="000000"/>
                            <w:sz w:val="28"/>
                            <w:szCs w:val="28"/>
                          </w:rPr>
                        </w:pPr>
                      </w:p>
                      <w:p w14:paraId="73C75165"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 xml:space="preserve">Sandra </w:t>
                        </w:r>
                        <w:proofErr w:type="spellStart"/>
                        <w:r w:rsidRPr="00BE2E0B">
                          <w:rPr>
                            <w:rFonts w:ascii="Arial" w:eastAsia="Times New Roman" w:hAnsi="Arial" w:cs="Arial"/>
                            <w:color w:val="000000"/>
                            <w:sz w:val="28"/>
                            <w:szCs w:val="28"/>
                          </w:rPr>
                          <w:t>Mattavous</w:t>
                        </w:r>
                        <w:proofErr w:type="spellEnd"/>
                        <w:r w:rsidRPr="00BE2E0B">
                          <w:rPr>
                            <w:rFonts w:ascii="Arial" w:eastAsia="Times New Roman" w:hAnsi="Arial" w:cs="Arial"/>
                            <w:color w:val="000000"/>
                            <w:sz w:val="28"/>
                            <w:szCs w:val="28"/>
                          </w:rPr>
                          <w:t>-Frye, People's Counsel for the District of Columbia, wants DC consumers to know about new relief for utility company customers that the DC Council approved yesterday. OPC staff worked with the Council to develop language in the COVID-19 Response Supplemental Emergency Amendment Act of 2020 that prohibits Verizon from disconnecting the service of local phone customers for non-payment during the public health emergency.  Among other things, the act also bars shutoffs by all cable and internet service providers.</w:t>
                        </w:r>
                      </w:p>
                      <w:p w14:paraId="408A8FAB"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 </w:t>
                        </w:r>
                      </w:p>
                      <w:p w14:paraId="1EB67641"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OPC also consulted with the Council prior to the passage of its first emergency legislation on March 17. That act prohibits the electric, natural gas and water utilities from disconnecting customers for non-payment during the coronavirus pandemic. </w:t>
                        </w:r>
                      </w:p>
                      <w:p w14:paraId="58E35B00" w14:textId="77777777" w:rsidR="00BE2E0B" w:rsidRPr="00BE2E0B" w:rsidRDefault="00BE2E0B" w:rsidP="00BE2E0B">
                        <w:pPr>
                          <w:rPr>
                            <w:rFonts w:ascii="Arial" w:eastAsia="Times New Roman" w:hAnsi="Arial" w:cs="Arial"/>
                            <w:color w:val="000000"/>
                            <w:sz w:val="28"/>
                            <w:szCs w:val="28"/>
                          </w:rPr>
                        </w:pPr>
                      </w:p>
                      <w:p w14:paraId="25270277"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 xml:space="preserve">However, telecommunications companies were excluded. As the statutory advocate for all District utility consumers, OPC recommended to Ward 5 Councilmember Kenyan McDuffie, Chairman of the </w:t>
                        </w:r>
                        <w:bookmarkStart w:id="0" w:name="_GoBack"/>
                        <w:bookmarkEnd w:id="0"/>
                        <w:r w:rsidRPr="00BE2E0B">
                          <w:rPr>
                            <w:rFonts w:ascii="Arial" w:eastAsia="Times New Roman" w:hAnsi="Arial" w:cs="Arial"/>
                            <w:color w:val="000000"/>
                            <w:sz w:val="28"/>
                            <w:szCs w:val="28"/>
                          </w:rPr>
                          <w:t xml:space="preserve">Committee on Business and Economic </w:t>
                        </w:r>
                        <w:r w:rsidRPr="00BE2E0B">
                          <w:rPr>
                            <w:rFonts w:ascii="Arial" w:eastAsia="Times New Roman" w:hAnsi="Arial" w:cs="Arial"/>
                            <w:color w:val="000000"/>
                            <w:sz w:val="28"/>
                            <w:szCs w:val="28"/>
                          </w:rPr>
                          <w:lastRenderedPageBreak/>
                          <w:t>Development with oversight of utilities, that Verizon customers should be afforded the same relief.   </w:t>
                        </w:r>
                      </w:p>
                      <w:p w14:paraId="6496658C"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 </w:t>
                        </w:r>
                      </w:p>
                      <w:p w14:paraId="78C28F49"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 xml:space="preserve">"We applaud Councilmember McDuffie for his leadership and the rest of Council for taking extra steps in their second emergency bill to protect our constituents," says People's Counsel </w:t>
                        </w:r>
                        <w:proofErr w:type="spellStart"/>
                        <w:r w:rsidRPr="00BE2E0B">
                          <w:rPr>
                            <w:rFonts w:ascii="Arial" w:eastAsia="Times New Roman" w:hAnsi="Arial" w:cs="Arial"/>
                            <w:color w:val="000000"/>
                            <w:sz w:val="28"/>
                            <w:szCs w:val="28"/>
                          </w:rPr>
                          <w:t>Mattavous</w:t>
                        </w:r>
                        <w:proofErr w:type="spellEnd"/>
                        <w:r w:rsidRPr="00BE2E0B">
                          <w:rPr>
                            <w:rFonts w:ascii="Arial" w:eastAsia="Times New Roman" w:hAnsi="Arial" w:cs="Arial"/>
                            <w:color w:val="000000"/>
                            <w:sz w:val="28"/>
                            <w:szCs w:val="28"/>
                          </w:rPr>
                          <w:t>-Frye.  "Staying in touch with health professionals and loved ones is critical during these unprecedented times.  It could mean the difference between life and death. We thank all Councilmembers and Mayor Muriel Bowser for their comprehensive response to the COVID-19 pandemic."</w:t>
                        </w:r>
                      </w:p>
                      <w:p w14:paraId="5AFFE525"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 </w:t>
                        </w:r>
                      </w:p>
                      <w:p w14:paraId="26069F93"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This second emergency bill also allows low-income DC Water residential customers who have outstanding water bill balances to apply for financial assistance from the Clean Rivers Impervious Area Charge (CRIAC) Assistance Fund.  OPC became the advocate for DC Water consumers on April 11, 2019.</w:t>
                        </w:r>
                      </w:p>
                      <w:p w14:paraId="672489CA"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 </w:t>
                        </w:r>
                      </w:p>
                      <w:p w14:paraId="7FC6FDD8" w14:textId="77777777" w:rsidR="00BE2E0B" w:rsidRPr="00BE2E0B" w:rsidRDefault="00BE2E0B" w:rsidP="00BE2E0B">
                        <w:pPr>
                          <w:rPr>
                            <w:rFonts w:ascii="Arial" w:eastAsia="Times New Roman" w:hAnsi="Arial" w:cs="Arial"/>
                            <w:color w:val="000000"/>
                            <w:sz w:val="28"/>
                            <w:szCs w:val="28"/>
                          </w:rPr>
                        </w:pPr>
                        <w:r w:rsidRPr="00BE2E0B">
                          <w:rPr>
                            <w:rFonts w:ascii="Arial" w:eastAsia="Times New Roman" w:hAnsi="Arial" w:cs="Arial"/>
                            <w:color w:val="000000"/>
                            <w:sz w:val="28"/>
                            <w:szCs w:val="28"/>
                          </w:rPr>
                          <w:t>During the Mayor's telework stay-at-home order, OPC staff has continued to respond to consumer complaints related to their water, electric, natural gas and local phone utilities. Consumers should contact (202) 727-3071 for help with a service or billing issue, or </w:t>
                        </w:r>
                        <w:hyperlink r:id="rId9" w:history="1">
                          <w:r w:rsidRPr="00BE2E0B">
                            <w:rPr>
                              <w:rFonts w:ascii="Arial" w:eastAsia="Times New Roman" w:hAnsi="Arial" w:cs="Arial"/>
                              <w:color w:val="0000FF"/>
                              <w:sz w:val="28"/>
                              <w:szCs w:val="28"/>
                              <w:u w:val="single"/>
                            </w:rPr>
                            <w:t>file a complaint online @ opc-dc.gov.</w:t>
                          </w:r>
                        </w:hyperlink>
                      </w:p>
                      <w:p w14:paraId="10054427" w14:textId="77777777" w:rsidR="00BE2E0B" w:rsidRPr="00BE2E0B" w:rsidRDefault="00BE2E0B" w:rsidP="00BE2E0B">
                        <w:pPr>
                          <w:spacing w:after="280"/>
                          <w:rPr>
                            <w:rFonts w:ascii="Arial" w:eastAsia="Times New Roman" w:hAnsi="Arial" w:cs="Arial"/>
                            <w:color w:val="000000"/>
                            <w:sz w:val="28"/>
                            <w:szCs w:val="28"/>
                          </w:rPr>
                        </w:pPr>
                      </w:p>
                    </w:tc>
                  </w:tr>
                </w:tbl>
                <w:p w14:paraId="664A5E0F" w14:textId="77777777" w:rsidR="00BE2E0B" w:rsidRPr="00BE2E0B" w:rsidRDefault="00BE2E0B" w:rsidP="00BE2E0B">
                  <w:pPr>
                    <w:jc w:val="center"/>
                    <w:rPr>
                      <w:rFonts w:ascii="Times" w:eastAsia="Times New Roman" w:hAnsi="Times"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BE2E0B" w14:paraId="2B0356A3" w14:textId="77777777">
                    <w:trPr>
                      <w:tblCellSpacing w:w="0" w:type="dxa"/>
                      <w:jc w:val="center"/>
                    </w:trPr>
                    <w:tc>
                      <w:tcPr>
                        <w:tcW w:w="0" w:type="auto"/>
                        <w:tcMar>
                          <w:top w:w="120" w:type="dxa"/>
                          <w:left w:w="300" w:type="dxa"/>
                          <w:bottom w:w="135" w:type="dxa"/>
                          <w:right w:w="300" w:type="dxa"/>
                        </w:tcMar>
                        <w:hideMark/>
                      </w:tcPr>
                      <w:p w14:paraId="4E07486E" w14:textId="77777777" w:rsidR="00BE2E0B" w:rsidRPr="00BE2E0B" w:rsidRDefault="00BE2E0B" w:rsidP="00BE2E0B">
                        <w:pPr>
                          <w:rPr>
                            <w:rFonts w:ascii="Arial" w:eastAsia="Times New Roman" w:hAnsi="Arial" w:cs="Arial"/>
                            <w:color w:val="373737"/>
                            <w:sz w:val="22"/>
                            <w:szCs w:val="22"/>
                          </w:rPr>
                        </w:pPr>
                        <w:r w:rsidRPr="00BE2E0B">
                          <w:rPr>
                            <w:rFonts w:ascii="Arial" w:eastAsia="Times New Roman" w:hAnsi="Arial" w:cs="Arial"/>
                            <w:b/>
                            <w:bCs/>
                            <w:color w:val="373737"/>
                            <w:sz w:val="22"/>
                            <w:szCs w:val="22"/>
                          </w:rPr>
                          <w:t>Media Contact:</w:t>
                        </w:r>
                      </w:p>
                      <w:p w14:paraId="08727BC8" w14:textId="77777777" w:rsidR="00BE2E0B" w:rsidRPr="00BE2E0B" w:rsidRDefault="00BE2E0B" w:rsidP="00BE2E0B">
                        <w:pPr>
                          <w:rPr>
                            <w:rFonts w:ascii="Arial" w:eastAsia="Times New Roman" w:hAnsi="Arial" w:cs="Arial"/>
                            <w:color w:val="373737"/>
                            <w:sz w:val="22"/>
                            <w:szCs w:val="22"/>
                          </w:rPr>
                        </w:pPr>
                        <w:r w:rsidRPr="00BE2E0B">
                          <w:rPr>
                            <w:rFonts w:ascii="Arial" w:eastAsia="Times New Roman" w:hAnsi="Arial" w:cs="Arial"/>
                            <w:b/>
                            <w:bCs/>
                            <w:color w:val="373737"/>
                            <w:sz w:val="22"/>
                            <w:szCs w:val="22"/>
                          </w:rPr>
                          <w:br/>
                        </w:r>
                        <w:proofErr w:type="spellStart"/>
                        <w:r w:rsidRPr="00BE2E0B">
                          <w:rPr>
                            <w:rFonts w:ascii="Arial" w:eastAsia="Times New Roman" w:hAnsi="Arial" w:cs="Arial"/>
                            <w:color w:val="373737"/>
                            <w:sz w:val="22"/>
                            <w:szCs w:val="22"/>
                          </w:rPr>
                          <w:t>Doxie</w:t>
                        </w:r>
                        <w:proofErr w:type="spellEnd"/>
                        <w:r w:rsidRPr="00BE2E0B">
                          <w:rPr>
                            <w:rFonts w:ascii="Arial" w:eastAsia="Times New Roman" w:hAnsi="Arial" w:cs="Arial"/>
                            <w:color w:val="373737"/>
                            <w:sz w:val="22"/>
                            <w:szCs w:val="22"/>
                          </w:rPr>
                          <w:t xml:space="preserve"> McCoy</w:t>
                        </w:r>
                        <w:r w:rsidRPr="00BE2E0B">
                          <w:rPr>
                            <w:rFonts w:ascii="Arial" w:eastAsia="Times New Roman" w:hAnsi="Arial" w:cs="Arial"/>
                            <w:color w:val="373737"/>
                            <w:sz w:val="22"/>
                            <w:szCs w:val="22"/>
                          </w:rPr>
                          <w:br/>
                          <w:t>Public Information Officer</w:t>
                        </w:r>
                        <w:r w:rsidRPr="00BE2E0B">
                          <w:rPr>
                            <w:rFonts w:ascii="Arial" w:eastAsia="Times New Roman" w:hAnsi="Arial" w:cs="Arial"/>
                            <w:color w:val="373737"/>
                            <w:sz w:val="22"/>
                            <w:szCs w:val="22"/>
                          </w:rPr>
                          <w:br/>
                          <w:t>(202) 261-1180</w:t>
                        </w:r>
                        <w:r w:rsidRPr="00BE2E0B">
                          <w:rPr>
                            <w:rFonts w:ascii="Arial" w:eastAsia="Times New Roman" w:hAnsi="Arial" w:cs="Arial"/>
                            <w:color w:val="373737"/>
                            <w:sz w:val="22"/>
                            <w:szCs w:val="22"/>
                          </w:rPr>
                          <w:br/>
                          <w:t>dmccoy@opc-dc.gov</w:t>
                        </w:r>
                      </w:p>
                    </w:tc>
                  </w:tr>
                </w:tbl>
                <w:p w14:paraId="3A1F80C9" w14:textId="77777777" w:rsidR="00BE2E0B" w:rsidRPr="00BE2E0B" w:rsidRDefault="00BE2E0B" w:rsidP="00BE2E0B">
                  <w:pPr>
                    <w:jc w:val="center"/>
                    <w:rPr>
                      <w:rFonts w:ascii="Times" w:eastAsia="Times New Roman" w:hAnsi="Times" w:cs="Times New Roman"/>
                      <w:sz w:val="20"/>
                      <w:szCs w:val="20"/>
                    </w:rPr>
                  </w:pPr>
                </w:p>
              </w:tc>
            </w:tr>
          </w:tbl>
          <w:p w14:paraId="3B93C719" w14:textId="77777777" w:rsidR="00BE2E0B" w:rsidRPr="00BE2E0B" w:rsidRDefault="00BE2E0B" w:rsidP="00BE2E0B">
            <w:pPr>
              <w:jc w:val="center"/>
              <w:rPr>
                <w:rFonts w:ascii="Times" w:eastAsia="Times New Roman" w:hAnsi="Times" w:cs="Times New Roman"/>
                <w:vanish/>
                <w:sz w:val="20"/>
                <w:szCs w:val="20"/>
              </w:rPr>
            </w:pPr>
          </w:p>
          <w:tbl>
            <w:tblPr>
              <w:tblW w:w="5000" w:type="pct"/>
              <w:jc w:val="center"/>
              <w:tblCellSpacing w:w="0" w:type="dxa"/>
              <w:shd w:val="clear" w:color="auto" w:fill="373737"/>
              <w:tblCellMar>
                <w:left w:w="0" w:type="dxa"/>
                <w:right w:w="0" w:type="dxa"/>
              </w:tblCellMar>
              <w:tblLook w:val="04A0" w:firstRow="1" w:lastRow="0" w:firstColumn="1" w:lastColumn="0" w:noHBand="0" w:noVBand="1"/>
            </w:tblPr>
            <w:tblGrid>
              <w:gridCol w:w="8640"/>
            </w:tblGrid>
            <w:tr w:rsidR="00BE2E0B" w:rsidRPr="00BE2E0B" w14:paraId="41889D18" w14:textId="77777777">
              <w:trPr>
                <w:tblCellSpacing w:w="0" w:type="dxa"/>
                <w:jc w:val="center"/>
              </w:trPr>
              <w:tc>
                <w:tcPr>
                  <w:tcW w:w="0" w:type="auto"/>
                  <w:shd w:val="clear" w:color="auto" w:fill="373737"/>
                  <w:vAlign w:val="center"/>
                  <w:hideMark/>
                </w:tcPr>
                <w:p w14:paraId="2F49E951" w14:textId="77777777" w:rsidR="00BE2E0B" w:rsidRPr="00BE2E0B" w:rsidRDefault="00BE2E0B" w:rsidP="00BE2E0B">
                  <w:pPr>
                    <w:rPr>
                      <w:rFonts w:ascii="Times" w:eastAsia="Times New Roman" w:hAnsi="Times" w:cs="Times New Roman"/>
                      <w:sz w:val="20"/>
                      <w:szCs w:val="20"/>
                    </w:rPr>
                  </w:pPr>
                </w:p>
              </w:tc>
            </w:tr>
          </w:tbl>
          <w:p w14:paraId="30FF854D" w14:textId="77777777" w:rsidR="00BE2E0B" w:rsidRPr="00BE2E0B" w:rsidRDefault="00BE2E0B" w:rsidP="00BE2E0B">
            <w:pPr>
              <w:jc w:val="center"/>
              <w:rPr>
                <w:rFonts w:ascii="Times" w:eastAsia="Times New Roman" w:hAnsi="Times" w:cs="Times New Roman"/>
                <w:sz w:val="20"/>
                <w:szCs w:val="20"/>
              </w:rPr>
            </w:pPr>
          </w:p>
        </w:tc>
      </w:tr>
    </w:tbl>
    <w:p w14:paraId="6717E8EF" w14:textId="77777777" w:rsidR="001401B1" w:rsidRDefault="001401B1"/>
    <w:sectPr w:rsidR="001401B1" w:rsidSect="00816AC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E8158" w14:textId="77777777" w:rsidR="0085147C" w:rsidRDefault="0085147C" w:rsidP="0085147C">
      <w:r>
        <w:separator/>
      </w:r>
    </w:p>
  </w:endnote>
  <w:endnote w:type="continuationSeparator" w:id="0">
    <w:p w14:paraId="4E323721" w14:textId="77777777" w:rsidR="0085147C" w:rsidRDefault="0085147C" w:rsidP="0085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713E" w14:textId="5D696574" w:rsidR="0085147C" w:rsidRPr="0085147C" w:rsidRDefault="0085147C" w:rsidP="0085147C">
    <w:pPr>
      <w:rPr>
        <w:rFonts w:ascii="Times" w:eastAsia="Times New Roman" w:hAnsi="Times" w:cs="Times New Roman"/>
        <w:sz w:val="14"/>
        <w:szCs w:val="20"/>
      </w:rPr>
    </w:pPr>
    <w:r w:rsidRPr="00800126">
      <w:rPr>
        <w:rFonts w:ascii="Arial" w:eastAsia="Times New Roman" w:hAnsi="Arial" w:cs="Arial"/>
        <w:color w:val="000000"/>
        <w:sz w:val="20"/>
        <w:szCs w:val="27"/>
        <w:lang w:val="es-ES"/>
      </w:rPr>
      <w:t xml:space="preserve">OPC </w:t>
    </w:r>
    <w:proofErr w:type="spellStart"/>
    <w:r w:rsidRPr="00800126">
      <w:rPr>
        <w:rFonts w:ascii="Arial" w:eastAsia="Times New Roman" w:hAnsi="Arial" w:cs="Arial"/>
        <w:color w:val="000000"/>
        <w:sz w:val="20"/>
        <w:szCs w:val="27"/>
        <w:lang w:val="es-ES"/>
      </w:rPr>
      <w:t>Commends</w:t>
    </w:r>
    <w:proofErr w:type="spellEnd"/>
    <w:r w:rsidRPr="00800126">
      <w:rPr>
        <w:rFonts w:ascii="Arial" w:eastAsia="Times New Roman" w:hAnsi="Arial" w:cs="Arial"/>
        <w:color w:val="000000"/>
        <w:sz w:val="20"/>
        <w:szCs w:val="27"/>
        <w:lang w:val="es-ES"/>
      </w:rPr>
      <w:t xml:space="preserve"> DC Council </w:t>
    </w:r>
    <w:proofErr w:type="spellStart"/>
    <w:r w:rsidRPr="00800126">
      <w:rPr>
        <w:rFonts w:ascii="Arial" w:eastAsia="Times New Roman" w:hAnsi="Arial" w:cs="Arial"/>
        <w:color w:val="000000"/>
        <w:sz w:val="20"/>
        <w:szCs w:val="27"/>
        <w:lang w:val="es-ES"/>
      </w:rPr>
      <w:t>Legislation</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to</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Safeguard</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Consumers</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During</w:t>
    </w:r>
    <w:proofErr w:type="spellEnd"/>
    <w:r w:rsidRPr="00800126">
      <w:rPr>
        <w:rFonts w:ascii="Arial" w:eastAsia="Times New Roman" w:hAnsi="Arial" w:cs="Arial"/>
        <w:color w:val="000000"/>
        <w:sz w:val="20"/>
        <w:szCs w:val="27"/>
        <w:lang w:val="es-ES"/>
      </w:rPr>
      <w:t xml:space="preserve"> COVID-19 </w:t>
    </w:r>
    <w:proofErr w:type="spellStart"/>
    <w:r w:rsidRPr="00800126">
      <w:rPr>
        <w:rFonts w:ascii="Arial" w:eastAsia="Times New Roman" w:hAnsi="Arial" w:cs="Arial"/>
        <w:color w:val="000000"/>
        <w:sz w:val="20"/>
        <w:szCs w:val="27"/>
        <w:lang w:val="es-ES"/>
      </w:rPr>
      <w:t>Emergency</w:t>
    </w:r>
    <w:proofErr w:type="spellEnd"/>
    <w:r>
      <w:rPr>
        <w:rFonts w:ascii="Arial" w:eastAsia="Times New Roman" w:hAnsi="Arial" w:cs="Arial"/>
        <w:color w:val="000000"/>
        <w:sz w:val="20"/>
        <w:szCs w:val="27"/>
        <w:lang w:val="es-ES"/>
      </w:rPr>
      <w:t xml:space="preserve"> - </w:t>
    </w:r>
    <w:r>
      <w:rPr>
        <w:rFonts w:ascii="Arial" w:eastAsia="Times New Roman" w:hAnsi="Arial" w:cs="Arial"/>
        <w:color w:val="000000"/>
        <w:sz w:val="20"/>
        <w:szCs w:val="27"/>
        <w:lang w:val="es-ES"/>
      </w:rPr>
      <w:t xml:space="preserve">2 </w:t>
    </w:r>
    <w:proofErr w:type="spellStart"/>
    <w:r>
      <w:rPr>
        <w:rFonts w:ascii="Arial" w:eastAsia="Times New Roman" w:hAnsi="Arial" w:cs="Arial"/>
        <w:color w:val="000000"/>
        <w:sz w:val="20"/>
        <w:szCs w:val="27"/>
        <w:lang w:val="es-ES"/>
      </w:rPr>
      <w:t>pages</w:t>
    </w:r>
    <w:proofErr w:type="spellEnd"/>
    <w:r>
      <w:rPr>
        <w:rFonts w:ascii="Arial" w:eastAsia="Times New Roman" w:hAnsi="Arial" w:cs="Arial"/>
        <w:color w:val="000000"/>
        <w:sz w:val="20"/>
        <w:szCs w:val="27"/>
        <w:lang w:val="es-ES"/>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BA945" w14:textId="77777777" w:rsidR="0085147C" w:rsidRDefault="0085147C" w:rsidP="0085147C">
      <w:r>
        <w:separator/>
      </w:r>
    </w:p>
  </w:footnote>
  <w:footnote w:type="continuationSeparator" w:id="0">
    <w:p w14:paraId="1952C362" w14:textId="77777777" w:rsidR="0085147C" w:rsidRDefault="0085147C" w:rsidP="008514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C6C32" w14:textId="1C726AF7" w:rsidR="0085147C" w:rsidRPr="0085147C" w:rsidRDefault="0085147C" w:rsidP="0085147C">
    <w:pPr>
      <w:pStyle w:val="Header"/>
      <w:jc w:val="right"/>
      <w:rPr>
        <w:b/>
        <w:sz w:val="28"/>
      </w:rPr>
    </w:pPr>
    <w:r w:rsidRPr="0085147C">
      <w:rPr>
        <w:b/>
        <w:sz w:val="28"/>
      </w:rPr>
      <w:t>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0B"/>
    <w:rsid w:val="001401B1"/>
    <w:rsid w:val="0070439B"/>
    <w:rsid w:val="00816ACC"/>
    <w:rsid w:val="0085147C"/>
    <w:rsid w:val="00BE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EDD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E0B"/>
    <w:rPr>
      <w:color w:val="0000FF"/>
      <w:u w:val="single"/>
    </w:rPr>
  </w:style>
  <w:style w:type="character" w:styleId="Strong">
    <w:name w:val="Strong"/>
    <w:basedOn w:val="DefaultParagraphFont"/>
    <w:uiPriority w:val="22"/>
    <w:qFormat/>
    <w:rsid w:val="00BE2E0B"/>
    <w:rPr>
      <w:b/>
      <w:bCs/>
    </w:rPr>
  </w:style>
  <w:style w:type="paragraph" w:styleId="BalloonText">
    <w:name w:val="Balloon Text"/>
    <w:basedOn w:val="Normal"/>
    <w:link w:val="BalloonTextChar"/>
    <w:uiPriority w:val="99"/>
    <w:semiHidden/>
    <w:unhideWhenUsed/>
    <w:rsid w:val="007043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39B"/>
    <w:rPr>
      <w:rFonts w:ascii="Lucida Grande" w:hAnsi="Lucida Grande" w:cs="Lucida Grande"/>
      <w:sz w:val="18"/>
      <w:szCs w:val="18"/>
    </w:rPr>
  </w:style>
  <w:style w:type="paragraph" w:styleId="Header">
    <w:name w:val="header"/>
    <w:basedOn w:val="Normal"/>
    <w:link w:val="HeaderChar"/>
    <w:uiPriority w:val="99"/>
    <w:unhideWhenUsed/>
    <w:rsid w:val="0085147C"/>
    <w:pPr>
      <w:tabs>
        <w:tab w:val="center" w:pos="4320"/>
        <w:tab w:val="right" w:pos="8640"/>
      </w:tabs>
    </w:pPr>
  </w:style>
  <w:style w:type="character" w:customStyle="1" w:styleId="HeaderChar">
    <w:name w:val="Header Char"/>
    <w:basedOn w:val="DefaultParagraphFont"/>
    <w:link w:val="Header"/>
    <w:uiPriority w:val="99"/>
    <w:rsid w:val="0085147C"/>
  </w:style>
  <w:style w:type="paragraph" w:styleId="Footer">
    <w:name w:val="footer"/>
    <w:basedOn w:val="Normal"/>
    <w:link w:val="FooterChar"/>
    <w:uiPriority w:val="99"/>
    <w:unhideWhenUsed/>
    <w:rsid w:val="0085147C"/>
    <w:pPr>
      <w:tabs>
        <w:tab w:val="center" w:pos="4320"/>
        <w:tab w:val="right" w:pos="8640"/>
      </w:tabs>
    </w:pPr>
  </w:style>
  <w:style w:type="character" w:customStyle="1" w:styleId="FooterChar">
    <w:name w:val="Footer Char"/>
    <w:basedOn w:val="DefaultParagraphFont"/>
    <w:link w:val="Footer"/>
    <w:uiPriority w:val="99"/>
    <w:rsid w:val="008514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E0B"/>
    <w:rPr>
      <w:color w:val="0000FF"/>
      <w:u w:val="single"/>
    </w:rPr>
  </w:style>
  <w:style w:type="character" w:styleId="Strong">
    <w:name w:val="Strong"/>
    <w:basedOn w:val="DefaultParagraphFont"/>
    <w:uiPriority w:val="22"/>
    <w:qFormat/>
    <w:rsid w:val="00BE2E0B"/>
    <w:rPr>
      <w:b/>
      <w:bCs/>
    </w:rPr>
  </w:style>
  <w:style w:type="paragraph" w:styleId="BalloonText">
    <w:name w:val="Balloon Text"/>
    <w:basedOn w:val="Normal"/>
    <w:link w:val="BalloonTextChar"/>
    <w:uiPriority w:val="99"/>
    <w:semiHidden/>
    <w:unhideWhenUsed/>
    <w:rsid w:val="007043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39B"/>
    <w:rPr>
      <w:rFonts w:ascii="Lucida Grande" w:hAnsi="Lucida Grande" w:cs="Lucida Grande"/>
      <w:sz w:val="18"/>
      <w:szCs w:val="18"/>
    </w:rPr>
  </w:style>
  <w:style w:type="paragraph" w:styleId="Header">
    <w:name w:val="header"/>
    <w:basedOn w:val="Normal"/>
    <w:link w:val="HeaderChar"/>
    <w:uiPriority w:val="99"/>
    <w:unhideWhenUsed/>
    <w:rsid w:val="0085147C"/>
    <w:pPr>
      <w:tabs>
        <w:tab w:val="center" w:pos="4320"/>
        <w:tab w:val="right" w:pos="8640"/>
      </w:tabs>
    </w:pPr>
  </w:style>
  <w:style w:type="character" w:customStyle="1" w:styleId="HeaderChar">
    <w:name w:val="Header Char"/>
    <w:basedOn w:val="DefaultParagraphFont"/>
    <w:link w:val="Header"/>
    <w:uiPriority w:val="99"/>
    <w:rsid w:val="0085147C"/>
  </w:style>
  <w:style w:type="paragraph" w:styleId="Footer">
    <w:name w:val="footer"/>
    <w:basedOn w:val="Normal"/>
    <w:link w:val="FooterChar"/>
    <w:uiPriority w:val="99"/>
    <w:unhideWhenUsed/>
    <w:rsid w:val="0085147C"/>
    <w:pPr>
      <w:tabs>
        <w:tab w:val="center" w:pos="4320"/>
        <w:tab w:val="right" w:pos="8640"/>
      </w:tabs>
    </w:pPr>
  </w:style>
  <w:style w:type="character" w:customStyle="1" w:styleId="FooterChar">
    <w:name w:val="Footer Char"/>
    <w:basedOn w:val="DefaultParagraphFont"/>
    <w:link w:val="Footer"/>
    <w:uiPriority w:val="99"/>
    <w:rsid w:val="0085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87527">
      <w:bodyDiv w:val="1"/>
      <w:marLeft w:val="0"/>
      <w:marRight w:val="0"/>
      <w:marTop w:val="0"/>
      <w:marBottom w:val="0"/>
      <w:divBdr>
        <w:top w:val="none" w:sz="0" w:space="0" w:color="auto"/>
        <w:left w:val="none" w:sz="0" w:space="0" w:color="auto"/>
        <w:bottom w:val="none" w:sz="0" w:space="0" w:color="auto"/>
        <w:right w:val="none" w:sz="0" w:space="0" w:color="auto"/>
      </w:divBdr>
      <w:divsChild>
        <w:div w:id="437069464">
          <w:marLeft w:val="0"/>
          <w:marRight w:val="0"/>
          <w:marTop w:val="0"/>
          <w:marBottom w:val="0"/>
          <w:divBdr>
            <w:top w:val="none" w:sz="0" w:space="0" w:color="auto"/>
            <w:left w:val="none" w:sz="0" w:space="0" w:color="auto"/>
            <w:bottom w:val="none" w:sz="0" w:space="0" w:color="auto"/>
            <w:right w:val="none" w:sz="0" w:space="0" w:color="auto"/>
          </w:divBdr>
          <w:divsChild>
            <w:div w:id="1297298426">
              <w:marLeft w:val="0"/>
              <w:marRight w:val="0"/>
              <w:marTop w:val="0"/>
              <w:marBottom w:val="0"/>
              <w:divBdr>
                <w:top w:val="none" w:sz="0" w:space="0" w:color="auto"/>
                <w:left w:val="none" w:sz="0" w:space="0" w:color="auto"/>
                <w:bottom w:val="none" w:sz="0" w:space="0" w:color="auto"/>
                <w:right w:val="none" w:sz="0" w:space="0" w:color="auto"/>
              </w:divBdr>
              <w:divsChild>
                <w:div w:id="711661800">
                  <w:marLeft w:val="0"/>
                  <w:marRight w:val="0"/>
                  <w:marTop w:val="0"/>
                  <w:marBottom w:val="0"/>
                  <w:divBdr>
                    <w:top w:val="none" w:sz="0" w:space="0" w:color="auto"/>
                    <w:left w:val="none" w:sz="0" w:space="0" w:color="auto"/>
                    <w:bottom w:val="none" w:sz="0" w:space="0" w:color="auto"/>
                    <w:right w:val="none" w:sz="0" w:space="0" w:color="auto"/>
                  </w:divBdr>
                </w:div>
                <w:div w:id="1737433773">
                  <w:marLeft w:val="0"/>
                  <w:marRight w:val="0"/>
                  <w:marTop w:val="0"/>
                  <w:marBottom w:val="0"/>
                  <w:divBdr>
                    <w:top w:val="none" w:sz="0" w:space="0" w:color="auto"/>
                    <w:left w:val="none" w:sz="0" w:space="0" w:color="auto"/>
                    <w:bottom w:val="none" w:sz="0" w:space="0" w:color="auto"/>
                    <w:right w:val="none" w:sz="0" w:space="0" w:color="auto"/>
                  </w:divBdr>
                  <w:divsChild>
                    <w:div w:id="4226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7258">
          <w:marLeft w:val="0"/>
          <w:marRight w:val="0"/>
          <w:marTop w:val="0"/>
          <w:marBottom w:val="0"/>
          <w:divBdr>
            <w:top w:val="none" w:sz="0" w:space="0" w:color="auto"/>
            <w:left w:val="none" w:sz="0" w:space="0" w:color="auto"/>
            <w:bottom w:val="none" w:sz="0" w:space="0" w:color="auto"/>
            <w:right w:val="none" w:sz="0" w:space="0" w:color="auto"/>
          </w:divBdr>
          <w:divsChild>
            <w:div w:id="702367489">
              <w:marLeft w:val="0"/>
              <w:marRight w:val="0"/>
              <w:marTop w:val="0"/>
              <w:marBottom w:val="0"/>
              <w:divBdr>
                <w:top w:val="none" w:sz="0" w:space="0" w:color="auto"/>
                <w:left w:val="none" w:sz="0" w:space="0" w:color="auto"/>
                <w:bottom w:val="none" w:sz="0" w:space="0" w:color="auto"/>
                <w:right w:val="none" w:sz="0" w:space="0" w:color="auto"/>
              </w:divBdr>
              <w:divsChild>
                <w:div w:id="900795556">
                  <w:marLeft w:val="0"/>
                  <w:marRight w:val="0"/>
                  <w:marTop w:val="0"/>
                  <w:marBottom w:val="0"/>
                  <w:divBdr>
                    <w:top w:val="none" w:sz="0" w:space="0" w:color="auto"/>
                    <w:left w:val="none" w:sz="0" w:space="0" w:color="auto"/>
                    <w:bottom w:val="none" w:sz="0" w:space="0" w:color="auto"/>
                    <w:right w:val="none" w:sz="0" w:space="0" w:color="auto"/>
                  </w:divBdr>
                </w:div>
                <w:div w:id="1865316371">
                  <w:marLeft w:val="0"/>
                  <w:marRight w:val="0"/>
                  <w:marTop w:val="0"/>
                  <w:marBottom w:val="0"/>
                  <w:divBdr>
                    <w:top w:val="none" w:sz="0" w:space="0" w:color="auto"/>
                    <w:left w:val="none" w:sz="0" w:space="0" w:color="auto"/>
                    <w:bottom w:val="none" w:sz="0" w:space="0" w:color="auto"/>
                    <w:right w:val="none" w:sz="0" w:space="0" w:color="auto"/>
                  </w:divBdr>
                  <w:divsChild>
                    <w:div w:id="1645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696">
              <w:marLeft w:val="0"/>
              <w:marRight w:val="0"/>
              <w:marTop w:val="0"/>
              <w:marBottom w:val="0"/>
              <w:divBdr>
                <w:top w:val="none" w:sz="0" w:space="0" w:color="auto"/>
                <w:left w:val="none" w:sz="0" w:space="0" w:color="auto"/>
                <w:bottom w:val="none" w:sz="0" w:space="0" w:color="auto"/>
                <w:right w:val="none" w:sz="0" w:space="0" w:color="auto"/>
              </w:divBdr>
              <w:divsChild>
                <w:div w:id="1676573115">
                  <w:marLeft w:val="0"/>
                  <w:marRight w:val="0"/>
                  <w:marTop w:val="0"/>
                  <w:marBottom w:val="0"/>
                  <w:divBdr>
                    <w:top w:val="none" w:sz="0" w:space="0" w:color="auto"/>
                    <w:left w:val="none" w:sz="0" w:space="0" w:color="auto"/>
                    <w:bottom w:val="none" w:sz="0" w:space="0" w:color="auto"/>
                    <w:right w:val="none" w:sz="0" w:space="0" w:color="auto"/>
                  </w:divBdr>
                  <w:divsChild>
                    <w:div w:id="602347571">
                      <w:marLeft w:val="0"/>
                      <w:marRight w:val="0"/>
                      <w:marTop w:val="0"/>
                      <w:marBottom w:val="0"/>
                      <w:divBdr>
                        <w:top w:val="none" w:sz="0" w:space="0" w:color="auto"/>
                        <w:left w:val="none" w:sz="0" w:space="0" w:color="auto"/>
                        <w:bottom w:val="none" w:sz="0" w:space="0" w:color="auto"/>
                        <w:right w:val="none" w:sz="0" w:space="0" w:color="auto"/>
                      </w:divBdr>
                      <w:divsChild>
                        <w:div w:id="39669473">
                          <w:marLeft w:val="0"/>
                          <w:marRight w:val="0"/>
                          <w:marTop w:val="0"/>
                          <w:marBottom w:val="0"/>
                          <w:divBdr>
                            <w:top w:val="none" w:sz="0" w:space="0" w:color="auto"/>
                            <w:left w:val="none" w:sz="0" w:space="0" w:color="auto"/>
                            <w:bottom w:val="none" w:sz="0" w:space="0" w:color="auto"/>
                            <w:right w:val="none" w:sz="0" w:space="0" w:color="auto"/>
                          </w:divBdr>
                          <w:divsChild>
                            <w:div w:id="103614863">
                              <w:marLeft w:val="0"/>
                              <w:marRight w:val="0"/>
                              <w:marTop w:val="0"/>
                              <w:marBottom w:val="0"/>
                              <w:divBdr>
                                <w:top w:val="none" w:sz="0" w:space="0" w:color="auto"/>
                                <w:left w:val="none" w:sz="0" w:space="0" w:color="auto"/>
                                <w:bottom w:val="none" w:sz="0" w:space="0" w:color="auto"/>
                                <w:right w:val="none" w:sz="0" w:space="0" w:color="auto"/>
                              </w:divBdr>
                            </w:div>
                            <w:div w:id="1344091433">
                              <w:marLeft w:val="0"/>
                              <w:marRight w:val="0"/>
                              <w:marTop w:val="0"/>
                              <w:marBottom w:val="0"/>
                              <w:divBdr>
                                <w:top w:val="none" w:sz="0" w:space="0" w:color="auto"/>
                                <w:left w:val="none" w:sz="0" w:space="0" w:color="auto"/>
                                <w:bottom w:val="none" w:sz="0" w:space="0" w:color="auto"/>
                                <w:right w:val="none" w:sz="0" w:space="0" w:color="auto"/>
                              </w:divBdr>
                            </w:div>
                            <w:div w:id="1837718927">
                              <w:marLeft w:val="0"/>
                              <w:marRight w:val="0"/>
                              <w:marTop w:val="0"/>
                              <w:marBottom w:val="0"/>
                              <w:divBdr>
                                <w:top w:val="none" w:sz="0" w:space="0" w:color="auto"/>
                                <w:left w:val="none" w:sz="0" w:space="0" w:color="auto"/>
                                <w:bottom w:val="none" w:sz="0" w:space="0" w:color="auto"/>
                                <w:right w:val="none" w:sz="0" w:space="0" w:color="auto"/>
                              </w:divBdr>
                            </w:div>
                            <w:div w:id="1498350749">
                              <w:marLeft w:val="0"/>
                              <w:marRight w:val="0"/>
                              <w:marTop w:val="0"/>
                              <w:marBottom w:val="0"/>
                              <w:divBdr>
                                <w:top w:val="none" w:sz="0" w:space="0" w:color="auto"/>
                                <w:left w:val="none" w:sz="0" w:space="0" w:color="auto"/>
                                <w:bottom w:val="none" w:sz="0" w:space="0" w:color="auto"/>
                                <w:right w:val="none" w:sz="0" w:space="0" w:color="auto"/>
                              </w:divBdr>
                            </w:div>
                            <w:div w:id="204754730">
                              <w:marLeft w:val="0"/>
                              <w:marRight w:val="0"/>
                              <w:marTop w:val="0"/>
                              <w:marBottom w:val="0"/>
                              <w:divBdr>
                                <w:top w:val="none" w:sz="0" w:space="0" w:color="auto"/>
                                <w:left w:val="none" w:sz="0" w:space="0" w:color="auto"/>
                                <w:bottom w:val="none" w:sz="0" w:space="0" w:color="auto"/>
                                <w:right w:val="none" w:sz="0" w:space="0" w:color="auto"/>
                              </w:divBdr>
                            </w:div>
                            <w:div w:id="286939184">
                              <w:marLeft w:val="0"/>
                              <w:marRight w:val="0"/>
                              <w:marTop w:val="0"/>
                              <w:marBottom w:val="0"/>
                              <w:divBdr>
                                <w:top w:val="none" w:sz="0" w:space="0" w:color="auto"/>
                                <w:left w:val="none" w:sz="0" w:space="0" w:color="auto"/>
                                <w:bottom w:val="none" w:sz="0" w:space="0" w:color="auto"/>
                                <w:right w:val="none" w:sz="0" w:space="0" w:color="auto"/>
                              </w:divBdr>
                            </w:div>
                            <w:div w:id="993488506">
                              <w:marLeft w:val="0"/>
                              <w:marRight w:val="0"/>
                              <w:marTop w:val="0"/>
                              <w:marBottom w:val="0"/>
                              <w:divBdr>
                                <w:top w:val="none" w:sz="0" w:space="0" w:color="auto"/>
                                <w:left w:val="none" w:sz="0" w:space="0" w:color="auto"/>
                                <w:bottom w:val="none" w:sz="0" w:space="0" w:color="auto"/>
                                <w:right w:val="none" w:sz="0" w:space="0" w:color="auto"/>
                              </w:divBdr>
                            </w:div>
                            <w:div w:id="1432503656">
                              <w:marLeft w:val="0"/>
                              <w:marRight w:val="0"/>
                              <w:marTop w:val="0"/>
                              <w:marBottom w:val="0"/>
                              <w:divBdr>
                                <w:top w:val="none" w:sz="0" w:space="0" w:color="auto"/>
                                <w:left w:val="none" w:sz="0" w:space="0" w:color="auto"/>
                                <w:bottom w:val="none" w:sz="0" w:space="0" w:color="auto"/>
                                <w:right w:val="none" w:sz="0" w:space="0" w:color="auto"/>
                              </w:divBdr>
                            </w:div>
                            <w:div w:id="1069499041">
                              <w:marLeft w:val="0"/>
                              <w:marRight w:val="0"/>
                              <w:marTop w:val="0"/>
                              <w:marBottom w:val="0"/>
                              <w:divBdr>
                                <w:top w:val="none" w:sz="0" w:space="0" w:color="auto"/>
                                <w:left w:val="none" w:sz="0" w:space="0" w:color="auto"/>
                                <w:bottom w:val="none" w:sz="0" w:space="0" w:color="auto"/>
                                <w:right w:val="none" w:sz="0" w:space="0" w:color="auto"/>
                              </w:divBdr>
                            </w:div>
                            <w:div w:id="895702333">
                              <w:marLeft w:val="0"/>
                              <w:marRight w:val="0"/>
                              <w:marTop w:val="0"/>
                              <w:marBottom w:val="0"/>
                              <w:divBdr>
                                <w:top w:val="none" w:sz="0" w:space="0" w:color="auto"/>
                                <w:left w:val="none" w:sz="0" w:space="0" w:color="auto"/>
                                <w:bottom w:val="none" w:sz="0" w:space="0" w:color="auto"/>
                                <w:right w:val="none" w:sz="0" w:space="0" w:color="auto"/>
                              </w:divBdr>
                            </w:div>
                            <w:div w:id="8408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92620">
          <w:marLeft w:val="0"/>
          <w:marRight w:val="0"/>
          <w:marTop w:val="0"/>
          <w:marBottom w:val="0"/>
          <w:divBdr>
            <w:top w:val="none" w:sz="0" w:space="0" w:color="auto"/>
            <w:left w:val="none" w:sz="0" w:space="0" w:color="auto"/>
            <w:bottom w:val="none" w:sz="0" w:space="0" w:color="auto"/>
            <w:right w:val="none" w:sz="0" w:space="0" w:color="auto"/>
          </w:divBdr>
        </w:div>
        <w:div w:id="7608800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opc-dc.gov/" TargetMode="External"/><Relationship Id="rId8" Type="http://schemas.openxmlformats.org/officeDocument/2006/relationships/image" Target="media/image1.jpeg"/><Relationship Id="rId9" Type="http://schemas.openxmlformats.org/officeDocument/2006/relationships/hyperlink" Target="https://opc-dc.gov/consumer-assistance/consumer-corner/file-a-complaint"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378</Words>
  <Characters>2158</Characters>
  <Application>Microsoft Macintosh Word</Application>
  <DocSecurity>0</DocSecurity>
  <Lines>17</Lines>
  <Paragraphs>5</Paragraphs>
  <ScaleCrop>false</ScaleCrop>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Graphics</dc:creator>
  <cp:keywords/>
  <dc:description/>
  <cp:lastModifiedBy>Graphics</cp:lastModifiedBy>
  <cp:revision>3</cp:revision>
  <dcterms:created xsi:type="dcterms:W3CDTF">2020-04-09T15:12:00Z</dcterms:created>
  <dcterms:modified xsi:type="dcterms:W3CDTF">2020-04-14T18:13:00Z</dcterms:modified>
</cp:coreProperties>
</file>