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8143AE"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EF5962" w:rsidRDefault="00BB7568" w:rsidP="00EE0404">
      <w:pPr>
        <w:pBdr>
          <w:bottom w:val="single" w:sz="4" w:space="4" w:color="auto"/>
        </w:pBdr>
        <w:ind w:firstLine="360"/>
        <w:rPr>
          <w:rFonts w:ascii="Garamond" w:hAnsi="Garamond"/>
          <w:sz w:val="76"/>
          <w:szCs w:val="76"/>
          <w14:shadow w14:blurRad="50800" w14:dist="38100" w14:dir="2700000" w14:sx="100000" w14:sy="100000" w14:kx="0" w14:ky="0" w14:algn="tl">
            <w14:srgbClr w14:val="000000">
              <w14:alpha w14:val="60000"/>
            </w14:srgbClr>
          </w14:shadow>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EF5962">
        <w:rPr>
          <w:rFonts w:ascii="Garamond" w:hAnsi="Garamond"/>
          <w:smallCaps/>
          <w:sz w:val="76"/>
          <w:szCs w:val="76"/>
          <w14:shadow w14:blurRad="50800" w14:dist="38100" w14:dir="2700000" w14:sx="100000" w14:sy="100000" w14:kx="0" w14:ky="0" w14:algn="tl">
            <w14:srgbClr w14:val="000000">
              <w14:alpha w14:val="60000"/>
            </w14:srgbClr>
          </w14:shadow>
        </w:rPr>
        <w:t>Environmental News</w:t>
      </w:r>
      <w:r w:rsidR="00EE0404" w:rsidRPr="00EF5962">
        <w:rPr>
          <w:rFonts w:ascii="Garamond" w:hAnsi="Garamond"/>
          <w:sz w:val="76"/>
          <w:szCs w:val="76"/>
          <w14:shadow w14:blurRad="50800" w14:dist="38100" w14:dir="2700000" w14:sx="100000" w14:sy="100000" w14:kx="0" w14:ky="0" w14:algn="tl">
            <w14:srgbClr w14:val="000000">
              <w14:alpha w14:val="60000"/>
            </w14:srgbClr>
          </w14:shadow>
        </w:rPr>
        <w:t xml:space="preserve">                </w:t>
      </w:r>
      <w:r w:rsidRPr="00EF5962">
        <w:rPr>
          <w:rFonts w:ascii="Garamond" w:hAnsi="Garamond"/>
          <w:sz w:val="76"/>
          <w:szCs w:val="76"/>
          <w14:shadow w14:blurRad="50800" w14:dist="38100" w14:dir="2700000" w14:sx="100000" w14:sy="100000" w14:kx="0" w14:ky="0" w14:algn="tl">
            <w14:srgbClr w14:val="000000">
              <w14:alpha w14:val="60000"/>
            </w14:srgbClr>
          </w14:shadow>
        </w:rPr>
        <w:t xml:space="preserve">  </w:t>
      </w:r>
    </w:p>
    <w:p w:rsidR="00EE0404" w:rsidRDefault="00EE0404" w:rsidP="00EE0404">
      <w:pPr>
        <w:ind w:left="-360" w:firstLine="360"/>
        <w:rPr>
          <w:rFonts w:ascii="Garamond" w:hAnsi="Garamond"/>
          <w:sz w:val="18"/>
          <w:szCs w:val="18"/>
        </w:rPr>
      </w:pPr>
      <w:bookmarkStart w:id="0" w:name="_GoBack"/>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bookmarkEnd w:id="0"/>
    <w:p w:rsidR="00CB71DD" w:rsidRDefault="00CB71DD" w:rsidP="00CB71DD">
      <w:pPr>
        <w:rPr>
          <w:rFonts w:ascii="Arial" w:hAnsi="Arial" w:cs="Arial"/>
          <w:color w:val="000000"/>
          <w:sz w:val="18"/>
          <w:szCs w:val="18"/>
        </w:rPr>
      </w:pPr>
      <w:r>
        <w:rPr>
          <w:rFonts w:ascii="Arial" w:hAnsi="Arial" w:cs="Arial"/>
          <w:color w:val="000000"/>
          <w:sz w:val="18"/>
          <w:szCs w:val="18"/>
        </w:rPr>
        <w:t xml:space="preserve"> </w:t>
      </w:r>
    </w:p>
    <w:p w:rsidR="0031756E" w:rsidRPr="00007413" w:rsidRDefault="000F389A" w:rsidP="0031756E">
      <w:pPr>
        <w:spacing w:before="100" w:beforeAutospacing="1" w:after="100" w:afterAutospacing="1"/>
        <w:rPr>
          <w:rFonts w:ascii="Arial" w:hAnsi="Arial" w:cs="Arial"/>
          <w:sz w:val="20"/>
          <w:szCs w:val="20"/>
        </w:rPr>
      </w:pPr>
      <w:r w:rsidRPr="000F389A">
        <w:rPr>
          <w:rFonts w:ascii="Arial" w:hAnsi="Arial" w:cs="Arial"/>
          <w:sz w:val="20"/>
          <w:szCs w:val="20"/>
        </w:rPr>
        <w:t>FOR IMMEDIATE RELEASE</w:t>
      </w:r>
      <w:r w:rsidRPr="000F389A">
        <w:rPr>
          <w:rFonts w:ascii="Arial" w:hAnsi="Arial" w:cs="Arial"/>
          <w:sz w:val="20"/>
          <w:szCs w:val="20"/>
        </w:rPr>
        <w:br/>
      </w:r>
      <w:r w:rsidR="0031756E" w:rsidRPr="00007413">
        <w:rPr>
          <w:rFonts w:ascii="Arial" w:hAnsi="Arial" w:cs="Arial"/>
          <w:sz w:val="20"/>
          <w:szCs w:val="20"/>
        </w:rPr>
        <w:t xml:space="preserve">December </w:t>
      </w:r>
      <w:r w:rsidR="00AD0A69">
        <w:rPr>
          <w:rFonts w:ascii="Arial" w:hAnsi="Arial" w:cs="Arial"/>
          <w:sz w:val="20"/>
          <w:szCs w:val="20"/>
        </w:rPr>
        <w:t>19</w:t>
      </w:r>
      <w:r w:rsidR="0031756E" w:rsidRPr="00007413">
        <w:rPr>
          <w:rFonts w:ascii="Arial" w:hAnsi="Arial" w:cs="Arial"/>
          <w:sz w:val="20"/>
          <w:szCs w:val="20"/>
        </w:rPr>
        <w:t>, 2014</w:t>
      </w:r>
    </w:p>
    <w:p w:rsidR="00AD0A69" w:rsidRPr="00AD0A69" w:rsidRDefault="00564A03" w:rsidP="00AD0A69">
      <w:pPr>
        <w:pStyle w:val="Heading2"/>
        <w:shd w:val="clear" w:color="auto" w:fill="FFFFFF"/>
        <w:rPr>
          <w:rFonts w:ascii="Arial" w:hAnsi="Arial" w:cs="Arial"/>
          <w:b/>
          <w:color w:val="151515"/>
          <w:sz w:val="36"/>
          <w:szCs w:val="36"/>
        </w:rPr>
      </w:pPr>
      <w:r>
        <w:rPr>
          <w:rFonts w:ascii="Arial" w:hAnsi="Arial" w:cs="Arial"/>
          <w:b/>
          <w:color w:val="151515"/>
          <w:sz w:val="36"/>
          <w:szCs w:val="36"/>
        </w:rPr>
        <w:t xml:space="preserve">Florida Company Included in </w:t>
      </w:r>
      <w:r w:rsidR="00AD0A69" w:rsidRPr="00AD0A69">
        <w:rPr>
          <w:rFonts w:ascii="Arial" w:hAnsi="Arial" w:cs="Arial"/>
          <w:b/>
          <w:color w:val="151515"/>
          <w:sz w:val="36"/>
          <w:szCs w:val="36"/>
        </w:rPr>
        <w:t xml:space="preserve">EPA Action to Protect Public from Harmful Lead Exposure </w:t>
      </w:r>
    </w:p>
    <w:p w:rsidR="00AD0A69" w:rsidRPr="004C29AF" w:rsidRDefault="00AD0A69" w:rsidP="00AD0A69">
      <w:pPr>
        <w:pStyle w:val="NormalWeb"/>
        <w:shd w:val="clear" w:color="auto" w:fill="FFFFFF"/>
        <w:rPr>
          <w:rFonts w:ascii="Lucida Sans Unicode" w:hAnsi="Lucida Sans Unicode" w:cs="Lucida Sans Unicode"/>
          <w:color w:val="151515"/>
        </w:rPr>
      </w:pPr>
      <w:r w:rsidRPr="004C29AF">
        <w:rPr>
          <w:color w:val="151515"/>
          <w:sz w:val="22"/>
          <w:szCs w:val="22"/>
        </w:rPr>
        <w:t xml:space="preserve">Contact Information: </w:t>
      </w:r>
      <w:r w:rsidRPr="004C29AF">
        <w:rPr>
          <w:color w:val="151515"/>
          <w:sz w:val="22"/>
          <w:szCs w:val="22"/>
        </w:rPr>
        <w:t>Jason McDonald</w:t>
      </w:r>
      <w:r w:rsidRPr="004C29AF">
        <w:rPr>
          <w:color w:val="151515"/>
          <w:sz w:val="22"/>
          <w:szCs w:val="22"/>
        </w:rPr>
        <w:t xml:space="preserve">, </w:t>
      </w:r>
      <w:r w:rsidRPr="004C29AF">
        <w:rPr>
          <w:color w:val="151515"/>
          <w:sz w:val="22"/>
          <w:szCs w:val="22"/>
        </w:rPr>
        <w:t>McDonald.Jason@</w:t>
      </w:r>
      <w:r w:rsidRPr="004C29AF">
        <w:rPr>
          <w:color w:val="151515"/>
          <w:sz w:val="22"/>
          <w:szCs w:val="22"/>
        </w:rPr>
        <w:t xml:space="preserve">epa.gov, </w:t>
      </w:r>
      <w:r w:rsidRPr="004C29AF">
        <w:rPr>
          <w:color w:val="151515"/>
          <w:sz w:val="22"/>
          <w:szCs w:val="22"/>
        </w:rPr>
        <w:t>404</w:t>
      </w:r>
      <w:r w:rsidRPr="004C29AF">
        <w:rPr>
          <w:color w:val="151515"/>
          <w:sz w:val="22"/>
          <w:szCs w:val="22"/>
        </w:rPr>
        <w:t>-56</w:t>
      </w:r>
      <w:r w:rsidRPr="004C29AF">
        <w:rPr>
          <w:color w:val="151515"/>
          <w:sz w:val="22"/>
          <w:szCs w:val="22"/>
        </w:rPr>
        <w:t>2</w:t>
      </w:r>
      <w:r w:rsidRPr="004C29AF">
        <w:rPr>
          <w:color w:val="151515"/>
          <w:sz w:val="22"/>
          <w:szCs w:val="22"/>
        </w:rPr>
        <w:t>-</w:t>
      </w:r>
      <w:r w:rsidRPr="004C29AF">
        <w:rPr>
          <w:color w:val="151515"/>
          <w:sz w:val="22"/>
          <w:szCs w:val="22"/>
        </w:rPr>
        <w:t>9203</w:t>
      </w:r>
      <w:r w:rsidRPr="00AD0A69">
        <w:rPr>
          <w:color w:val="151515"/>
          <w:sz w:val="19"/>
          <w:szCs w:val="19"/>
        </w:rPr>
        <w:br/>
      </w:r>
      <w:r w:rsidRPr="00AD0A69">
        <w:rPr>
          <w:color w:val="151515"/>
          <w:sz w:val="19"/>
          <w:szCs w:val="19"/>
        </w:rPr>
        <w:br/>
      </w:r>
      <w:r w:rsidRPr="004C29AF">
        <w:rPr>
          <w:b/>
          <w:bCs/>
          <w:color w:val="151515"/>
        </w:rPr>
        <w:t>A</w:t>
      </w:r>
      <w:r w:rsidRPr="004C29AF">
        <w:rPr>
          <w:b/>
          <w:bCs/>
          <w:color w:val="151515"/>
        </w:rPr>
        <w:t>TLAN</w:t>
      </w:r>
      <w:r w:rsidRPr="004C29AF">
        <w:rPr>
          <w:b/>
          <w:bCs/>
          <w:color w:val="151515"/>
        </w:rPr>
        <w:t>T</w:t>
      </w:r>
      <w:r w:rsidRPr="004C29AF">
        <w:rPr>
          <w:b/>
          <w:bCs/>
          <w:color w:val="151515"/>
        </w:rPr>
        <w:t>A</w:t>
      </w:r>
      <w:r w:rsidRPr="004C29AF">
        <w:rPr>
          <w:color w:val="151515"/>
        </w:rPr>
        <w:t xml:space="preserve"> – The U.S. Environmenta</w:t>
      </w:r>
      <w:r w:rsidRPr="004C29AF">
        <w:rPr>
          <w:color w:val="151515"/>
        </w:rPr>
        <w:t xml:space="preserve">l Protection Agency (EPA) filed a complaint against </w:t>
      </w:r>
      <w:r w:rsidRPr="004C29AF">
        <w:rPr>
          <w:color w:val="151515"/>
        </w:rPr>
        <w:t>Dynamic Co</w:t>
      </w:r>
      <w:r w:rsidRPr="004C29AF">
        <w:rPr>
          <w:color w:val="151515"/>
        </w:rPr>
        <w:t>nstruction and Roofing, LLC of Florida as part of an announcement that included</w:t>
      </w:r>
      <w:r w:rsidRPr="004C29AF">
        <w:rPr>
          <w:color w:val="151515"/>
        </w:rPr>
        <w:t xml:space="preserve"> 62</w:t>
      </w:r>
      <w:r w:rsidRPr="004C29AF">
        <w:rPr>
          <w:b/>
          <w:bCs/>
          <w:color w:val="FF0000"/>
        </w:rPr>
        <w:t xml:space="preserve"> </w:t>
      </w:r>
      <w:r w:rsidRPr="004C29AF">
        <w:rPr>
          <w:color w:val="151515"/>
        </w:rPr>
        <w:t xml:space="preserve">enforcement actions </w:t>
      </w:r>
      <w:r w:rsidRPr="004C29AF">
        <w:rPr>
          <w:color w:val="151515"/>
        </w:rPr>
        <w:t>requiring</w:t>
      </w:r>
      <w:r w:rsidRPr="004C29AF">
        <w:rPr>
          <w:color w:val="151515"/>
        </w:rPr>
        <w:t xml:space="preserve"> renovation contractors and training providers to protect people from harmful exposure to lead dust and debris, as required by EPA’s Lead-based Paint Renovation, Repair, and Painting (RRP) standards. </w:t>
      </w:r>
      <w:r w:rsidRPr="004C29AF">
        <w:rPr>
          <w:color w:val="151515"/>
        </w:rPr>
        <w:br/>
      </w:r>
      <w:r w:rsidRPr="004C29AF">
        <w:rPr>
          <w:color w:val="151515"/>
        </w:rPr>
        <w:br/>
        <w:t xml:space="preserve">The enforcement actions include 55 settlements and six complaints issued between February and October 2014 for renovations performed on pre-1978 homes and child-care facilities. All of the settlements require that the alleged violators certify their compliance with RRP standards and, in most cases, pay civil penalties. In two of the settlements, the violators agreed to fund voluntary lead abatement supplemental environmental projects, which require the removal of lead-based paint and post-construction testing to ensure that no hazardous conditions remain. The settlements led to $213,171 in civil penalties and the violators coming into compliance with federal law. These recent actions are in addition to EPA’s settlement with Lowe’s Home Improvement in April 2014, which included a $500,000 civil penalty as well as implementation of a corporate-wide RRP compliance program. </w:t>
      </w:r>
      <w:r w:rsidRPr="004C29AF">
        <w:rPr>
          <w:color w:val="151515"/>
        </w:rPr>
        <w:br/>
      </w:r>
      <w:r w:rsidRPr="004C29AF">
        <w:rPr>
          <w:color w:val="151515"/>
        </w:rPr>
        <w:br/>
        <w:t>"Children are most vulnerable to the dangers of lead paint exposure, especially those in predominantly minority and low-income communities, where housing is more likely to contain lead-based paint,” said Cynthia Giles, assistant administrator for EPA’s Office of Enforcement and Compliance Assurance. “These cases to enforce the RRP rule are vitally important to improving compliance among companies that handle lead-based paint. This leads to safer communities, healthier children and a level playing field for companies that follow the law."</w:t>
      </w:r>
      <w:r w:rsidRPr="004C29AF">
        <w:rPr>
          <w:color w:val="151515"/>
        </w:rPr>
        <w:br/>
      </w:r>
      <w:r w:rsidRPr="004C29AF">
        <w:rPr>
          <w:color w:val="151515"/>
        </w:rPr>
        <w:br/>
        <w:t xml:space="preserve">Lead dust and debris from improper renovation activities on properties built prior to 1978 is a major source of lead exposure that can cause lead poisoning. Although using lead-based paint in dwellings was prohibited after 1978, it is still present in more than 30 million homes across the nation, in all types of communities. The RRP Rule provides important protections for children and others vulnerable to lead exposure. Even low levels of lead in the blood of children can result in behavior and learning problems, lower IQ and hyperactivity, slowed growth, hearing problems and anemia. In rare cases, ingestion of lead can cause seizures, coma and even death. </w:t>
      </w:r>
      <w:r w:rsidRPr="004C29AF">
        <w:rPr>
          <w:color w:val="151515"/>
        </w:rPr>
        <w:br/>
      </w:r>
      <w:r w:rsidRPr="004C29AF">
        <w:rPr>
          <w:color w:val="151515"/>
        </w:rPr>
        <w:br/>
        <w:t>The RRP Rule, which is part of the federal Toxic Substances Control Act, is intended to ensure that owners and occupants of pre-1978 “target housing” and “child-occupied facilities” receive information on lead-based paint hazards before renovations begin, that individuals performing such renovations are properly trained and certified, and that renovators and workers follow specific lead-safe work practices during renovations to reduce the potential for exposure to lead.</w:t>
      </w:r>
      <w:r w:rsidRPr="004C29AF">
        <w:rPr>
          <w:color w:val="151515"/>
        </w:rPr>
        <w:br/>
      </w:r>
      <w:r w:rsidRPr="004C29AF">
        <w:rPr>
          <w:color w:val="151515"/>
        </w:rPr>
        <w:br/>
        <w:t xml:space="preserve">The penalties in the settlements address the cited violations. Enforcement penalties also help deter violations by others in the regulated industry, and level the playing field for complying companies, since the fines help eliminate the financial advantage a violator may derive from non-compliance which, otherwise, would allow the violator to underbid its complying competitors. </w:t>
      </w:r>
      <w:r w:rsidRPr="004C29AF">
        <w:rPr>
          <w:color w:val="151515"/>
        </w:rPr>
        <w:br/>
      </w:r>
      <w:r w:rsidRPr="004C29AF">
        <w:rPr>
          <w:color w:val="151515"/>
        </w:rPr>
        <w:br/>
        <w:t xml:space="preserve">Contractors that are certified under EPA’s RRP standards are encouraged to display EPA’s “Lead-Safe” logo on worker’s uniforms, signs, websites, and other material, as appropriate. Consumers can protect themselves by looking for the logo before hiring a home contractor, and by being generally aware of whether a renovator is following lead-safe work practices when working on their property. Those practices, such as what a renovator must do to minimize </w:t>
      </w:r>
      <w:r w:rsidRPr="004C29AF">
        <w:rPr>
          <w:color w:val="151515"/>
        </w:rPr>
        <w:lastRenderedPageBreak/>
        <w:t xml:space="preserve">lead dust dispersion, are outlined in EPA’s </w:t>
      </w:r>
      <w:r w:rsidRPr="004C29AF">
        <w:rPr>
          <w:i/>
          <w:iCs/>
          <w:color w:val="151515"/>
        </w:rPr>
        <w:t>Renovate Right</w:t>
      </w:r>
      <w:r w:rsidRPr="004C29AF">
        <w:rPr>
          <w:color w:val="151515"/>
        </w:rPr>
        <w:t xml:space="preserve"> lead hazard information pamphlet, available at </w:t>
      </w:r>
      <w:hyperlink r:id="rId7" w:history="1">
        <w:r w:rsidRPr="004C29AF">
          <w:rPr>
            <w:rStyle w:val="Hyperlink"/>
          </w:rPr>
          <w:t>http://www2.epa.gov/sites/production/files/documents/renovaterightbrochure.pdf</w:t>
        </w:r>
      </w:hyperlink>
      <w:r w:rsidRPr="004C29AF">
        <w:rPr>
          <w:color w:val="151515"/>
        </w:rPr>
        <w:br/>
        <w:t>Renovators are required to give the pamphlet to property owners and occupants within 60 days before starting any renovation.</w:t>
      </w:r>
      <w:r w:rsidRPr="004C29AF">
        <w:rPr>
          <w:color w:val="151515"/>
        </w:rPr>
        <w:br/>
      </w:r>
      <w:r w:rsidRPr="004C29AF">
        <w:rPr>
          <w:color w:val="151515"/>
        </w:rPr>
        <w:br/>
      </w:r>
    </w:p>
    <w:p w:rsidR="00AD0A69" w:rsidRDefault="00AD0A69" w:rsidP="00AD0A69">
      <w:pPr>
        <w:shd w:val="clear" w:color="auto" w:fill="FFFFFF"/>
        <w:rPr>
          <w:rFonts w:ascii="Lucida Sans Unicode" w:hAnsi="Lucida Sans Unicode" w:cs="Lucida Sans Unicode"/>
          <w:color w:val="151515"/>
          <w:sz w:val="19"/>
          <w:szCs w:val="19"/>
        </w:rPr>
      </w:pPr>
      <w:r>
        <w:rPr>
          <w:rFonts w:ascii="Lucida Sans Unicode" w:hAnsi="Lucida Sans Unicode" w:cs="Lucida Sans Unicode"/>
          <w:color w:val="151515"/>
          <w:sz w:val="19"/>
          <w:szCs w:val="19"/>
        </w:rPr>
        <w:br/>
      </w:r>
    </w:p>
    <w:p w:rsidR="00AD0A69" w:rsidRDefault="00AD0A69" w:rsidP="00AD0A69">
      <w:pPr>
        <w:shd w:val="clear" w:color="auto" w:fill="FFFFFF"/>
        <w:ind w:left="720"/>
        <w:rPr>
          <w:rFonts w:ascii="Lucida Sans Unicode" w:hAnsi="Lucida Sans Unicode" w:cs="Lucida Sans Unicode"/>
          <w:color w:val="151515"/>
          <w:sz w:val="19"/>
          <w:szCs w:val="19"/>
        </w:rPr>
      </w:pPr>
      <w:r>
        <w:rPr>
          <w:rFonts w:ascii="Lucida Sans Unicode" w:hAnsi="Lucida Sans Unicode" w:cs="Lucida Sans Unicode"/>
          <w:color w:val="151515"/>
          <w:sz w:val="19"/>
          <w:szCs w:val="19"/>
        </w:rPr>
        <w:br/>
      </w:r>
    </w:p>
    <w:p w:rsidR="00166E7C" w:rsidRPr="00A70B9F" w:rsidRDefault="00166E7C" w:rsidP="00AD0A69">
      <w:pPr>
        <w:spacing w:before="100" w:beforeAutospacing="1" w:after="100" w:afterAutospacing="1"/>
        <w:rPr>
          <w:rFonts w:ascii="Arial" w:hAnsi="Arial" w:cs="Arial"/>
          <w:color w:val="000000"/>
          <w:sz w:val="20"/>
          <w:szCs w:val="20"/>
        </w:rPr>
      </w:pPr>
    </w:p>
    <w:sectPr w:rsidR="00166E7C" w:rsidRPr="00A70B9F" w:rsidSect="00FE531E">
      <w:pgSz w:w="12240" w:h="15840"/>
      <w:pgMar w:top="18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47pt;height:327pt" o:bullet="t">
        <v:imagedata r:id="rId1" o:title="" croptop="-530f" cropbottom="-530f" cropleft="-2242f" cropright="-2242f"/>
      </v:shape>
    </w:pict>
  </w:numPicBullet>
  <w:abstractNum w:abstractNumId="0">
    <w:nsid w:val="00000008"/>
    <w:multiLevelType w:val="multilevel"/>
    <w:tmpl w:val="00000000"/>
    <w:name w:val="AutoList58"/>
    <w:lvl w:ilvl="0">
      <w:start w:val="1"/>
      <w:numFmt w:val="decimal"/>
      <w:pStyle w:val="Level1"/>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1A11DF"/>
    <w:multiLevelType w:val="hybridMultilevel"/>
    <w:tmpl w:val="F760D4AE"/>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3">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7C0374"/>
    <w:multiLevelType w:val="hybridMultilevel"/>
    <w:tmpl w:val="7DFA7330"/>
    <w:lvl w:ilvl="0" w:tplc="FFA60980">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55F4B"/>
    <w:multiLevelType w:val="hybridMultilevel"/>
    <w:tmpl w:val="1A0CA75E"/>
    <w:lvl w:ilvl="0" w:tplc="D1146D0C">
      <w:start w:val="1"/>
      <w:numFmt w:val="bullet"/>
      <w:lvlText w:val=""/>
      <w:lvlPicBulletId w:val="0"/>
      <w:lvlJc w:val="left"/>
      <w:pPr>
        <w:tabs>
          <w:tab w:val="num" w:pos="720"/>
        </w:tabs>
        <w:ind w:left="720" w:hanging="360"/>
      </w:pPr>
      <w:rPr>
        <w:rFonts w:ascii="Symbol" w:hAnsi="Symbol" w:hint="default"/>
      </w:rPr>
    </w:lvl>
    <w:lvl w:ilvl="1" w:tplc="DD5CB8FE" w:tentative="1">
      <w:start w:val="1"/>
      <w:numFmt w:val="bullet"/>
      <w:lvlText w:val=""/>
      <w:lvlJc w:val="left"/>
      <w:pPr>
        <w:tabs>
          <w:tab w:val="num" w:pos="1440"/>
        </w:tabs>
        <w:ind w:left="1440" w:hanging="360"/>
      </w:pPr>
      <w:rPr>
        <w:rFonts w:ascii="Symbol" w:hAnsi="Symbol" w:hint="default"/>
      </w:rPr>
    </w:lvl>
    <w:lvl w:ilvl="2" w:tplc="96388106" w:tentative="1">
      <w:start w:val="1"/>
      <w:numFmt w:val="bullet"/>
      <w:lvlText w:val=""/>
      <w:lvlJc w:val="left"/>
      <w:pPr>
        <w:tabs>
          <w:tab w:val="num" w:pos="2160"/>
        </w:tabs>
        <w:ind w:left="2160" w:hanging="360"/>
      </w:pPr>
      <w:rPr>
        <w:rFonts w:ascii="Symbol" w:hAnsi="Symbol" w:hint="default"/>
      </w:rPr>
    </w:lvl>
    <w:lvl w:ilvl="3" w:tplc="6BC00068" w:tentative="1">
      <w:start w:val="1"/>
      <w:numFmt w:val="bullet"/>
      <w:lvlText w:val=""/>
      <w:lvlJc w:val="left"/>
      <w:pPr>
        <w:tabs>
          <w:tab w:val="num" w:pos="2880"/>
        </w:tabs>
        <w:ind w:left="2880" w:hanging="360"/>
      </w:pPr>
      <w:rPr>
        <w:rFonts w:ascii="Symbol" w:hAnsi="Symbol" w:hint="default"/>
      </w:rPr>
    </w:lvl>
    <w:lvl w:ilvl="4" w:tplc="DDE094B2" w:tentative="1">
      <w:start w:val="1"/>
      <w:numFmt w:val="bullet"/>
      <w:lvlText w:val=""/>
      <w:lvlJc w:val="left"/>
      <w:pPr>
        <w:tabs>
          <w:tab w:val="num" w:pos="3600"/>
        </w:tabs>
        <w:ind w:left="3600" w:hanging="360"/>
      </w:pPr>
      <w:rPr>
        <w:rFonts w:ascii="Symbol" w:hAnsi="Symbol" w:hint="default"/>
      </w:rPr>
    </w:lvl>
    <w:lvl w:ilvl="5" w:tplc="00A0325E" w:tentative="1">
      <w:start w:val="1"/>
      <w:numFmt w:val="bullet"/>
      <w:lvlText w:val=""/>
      <w:lvlJc w:val="left"/>
      <w:pPr>
        <w:tabs>
          <w:tab w:val="num" w:pos="4320"/>
        </w:tabs>
        <w:ind w:left="4320" w:hanging="360"/>
      </w:pPr>
      <w:rPr>
        <w:rFonts w:ascii="Symbol" w:hAnsi="Symbol" w:hint="default"/>
      </w:rPr>
    </w:lvl>
    <w:lvl w:ilvl="6" w:tplc="9634BFEA" w:tentative="1">
      <w:start w:val="1"/>
      <w:numFmt w:val="bullet"/>
      <w:lvlText w:val=""/>
      <w:lvlJc w:val="left"/>
      <w:pPr>
        <w:tabs>
          <w:tab w:val="num" w:pos="5040"/>
        </w:tabs>
        <w:ind w:left="5040" w:hanging="360"/>
      </w:pPr>
      <w:rPr>
        <w:rFonts w:ascii="Symbol" w:hAnsi="Symbol" w:hint="default"/>
      </w:rPr>
    </w:lvl>
    <w:lvl w:ilvl="7" w:tplc="EE34C11E" w:tentative="1">
      <w:start w:val="1"/>
      <w:numFmt w:val="bullet"/>
      <w:lvlText w:val=""/>
      <w:lvlJc w:val="left"/>
      <w:pPr>
        <w:tabs>
          <w:tab w:val="num" w:pos="5760"/>
        </w:tabs>
        <w:ind w:left="5760" w:hanging="360"/>
      </w:pPr>
      <w:rPr>
        <w:rFonts w:ascii="Symbol" w:hAnsi="Symbol" w:hint="default"/>
      </w:rPr>
    </w:lvl>
    <w:lvl w:ilvl="8" w:tplc="0F00E26E" w:tentative="1">
      <w:start w:val="1"/>
      <w:numFmt w:val="bullet"/>
      <w:lvlText w:val=""/>
      <w:lvlJc w:val="left"/>
      <w:pPr>
        <w:tabs>
          <w:tab w:val="num" w:pos="6480"/>
        </w:tabs>
        <w:ind w:left="6480" w:hanging="360"/>
      </w:pPr>
      <w:rPr>
        <w:rFonts w:ascii="Symbol" w:hAnsi="Symbol" w:hint="default"/>
      </w:rPr>
    </w:lvl>
  </w:abstractNum>
  <w:abstractNum w:abstractNumId="8">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7E0339"/>
    <w:multiLevelType w:val="hybridMultilevel"/>
    <w:tmpl w:val="140C7DF4"/>
    <w:lvl w:ilvl="0" w:tplc="2910D4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8"/>
  </w:num>
  <w:num w:numId="7">
    <w:abstractNumId w:val="0"/>
    <w:lvlOverride w:ilvl="0">
      <w:lvl w:ilvl="0">
        <w:start w:val="1"/>
        <w:numFmt w:val="decimal"/>
        <w:pStyle w:val="Level1"/>
        <w:lvlText w:val="%1."/>
        <w:lvlJc w:val="left"/>
      </w:lvl>
    </w:lvlOverride>
    <w:lvlOverride w:ilvl="1">
      <w:lvl w:ilvl="1">
        <w:start w:val="1"/>
        <w:numFmt w:val="decimal"/>
        <w:lvlText w:val="·"/>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5"/>
    <w:rsid w:val="00007413"/>
    <w:rsid w:val="00012317"/>
    <w:rsid w:val="00015A5D"/>
    <w:rsid w:val="00037460"/>
    <w:rsid w:val="00061C47"/>
    <w:rsid w:val="00074071"/>
    <w:rsid w:val="000C5085"/>
    <w:rsid w:val="000E1B51"/>
    <w:rsid w:val="000E4DC4"/>
    <w:rsid w:val="000E65F9"/>
    <w:rsid w:val="000F389A"/>
    <w:rsid w:val="00106CF4"/>
    <w:rsid w:val="001365EF"/>
    <w:rsid w:val="001443FC"/>
    <w:rsid w:val="0015375F"/>
    <w:rsid w:val="00166E7C"/>
    <w:rsid w:val="001758F6"/>
    <w:rsid w:val="00180375"/>
    <w:rsid w:val="001953CD"/>
    <w:rsid w:val="001A1298"/>
    <w:rsid w:val="001A4686"/>
    <w:rsid w:val="001B00F0"/>
    <w:rsid w:val="001C6499"/>
    <w:rsid w:val="001D3A46"/>
    <w:rsid w:val="001E4188"/>
    <w:rsid w:val="001F440F"/>
    <w:rsid w:val="00212C15"/>
    <w:rsid w:val="00243384"/>
    <w:rsid w:val="00246D18"/>
    <w:rsid w:val="0029040F"/>
    <w:rsid w:val="002A27D3"/>
    <w:rsid w:val="002E245C"/>
    <w:rsid w:val="002F6114"/>
    <w:rsid w:val="002F66B2"/>
    <w:rsid w:val="0031756E"/>
    <w:rsid w:val="00330877"/>
    <w:rsid w:val="003430A4"/>
    <w:rsid w:val="003563DF"/>
    <w:rsid w:val="00363DAA"/>
    <w:rsid w:val="00366C0E"/>
    <w:rsid w:val="003753C2"/>
    <w:rsid w:val="00375D7B"/>
    <w:rsid w:val="00381AC7"/>
    <w:rsid w:val="003A4EE5"/>
    <w:rsid w:val="003B5D58"/>
    <w:rsid w:val="003B7CE5"/>
    <w:rsid w:val="003C4D9C"/>
    <w:rsid w:val="003D0646"/>
    <w:rsid w:val="003D73D9"/>
    <w:rsid w:val="003E31A3"/>
    <w:rsid w:val="0040519B"/>
    <w:rsid w:val="00407DB4"/>
    <w:rsid w:val="00410881"/>
    <w:rsid w:val="00415D9B"/>
    <w:rsid w:val="00437BCF"/>
    <w:rsid w:val="004425E5"/>
    <w:rsid w:val="00442D61"/>
    <w:rsid w:val="004549DE"/>
    <w:rsid w:val="004623B2"/>
    <w:rsid w:val="004722C4"/>
    <w:rsid w:val="00480137"/>
    <w:rsid w:val="004C29AF"/>
    <w:rsid w:val="004C5A24"/>
    <w:rsid w:val="004C638C"/>
    <w:rsid w:val="005130C6"/>
    <w:rsid w:val="00564A03"/>
    <w:rsid w:val="005B68D9"/>
    <w:rsid w:val="005E172E"/>
    <w:rsid w:val="005F048E"/>
    <w:rsid w:val="005F1327"/>
    <w:rsid w:val="005F281C"/>
    <w:rsid w:val="00614487"/>
    <w:rsid w:val="006346CA"/>
    <w:rsid w:val="00635A98"/>
    <w:rsid w:val="00643FD1"/>
    <w:rsid w:val="0065127E"/>
    <w:rsid w:val="006609D7"/>
    <w:rsid w:val="00664E23"/>
    <w:rsid w:val="00665605"/>
    <w:rsid w:val="00666DC1"/>
    <w:rsid w:val="00676AEC"/>
    <w:rsid w:val="006A74D1"/>
    <w:rsid w:val="006B0FFA"/>
    <w:rsid w:val="006C1859"/>
    <w:rsid w:val="006E6C8F"/>
    <w:rsid w:val="006F270D"/>
    <w:rsid w:val="007146A9"/>
    <w:rsid w:val="0072559E"/>
    <w:rsid w:val="00726662"/>
    <w:rsid w:val="007330A2"/>
    <w:rsid w:val="00770637"/>
    <w:rsid w:val="007F6826"/>
    <w:rsid w:val="00802213"/>
    <w:rsid w:val="008143AE"/>
    <w:rsid w:val="00815C9A"/>
    <w:rsid w:val="00820134"/>
    <w:rsid w:val="00847D24"/>
    <w:rsid w:val="00850042"/>
    <w:rsid w:val="00851070"/>
    <w:rsid w:val="00856B12"/>
    <w:rsid w:val="00871313"/>
    <w:rsid w:val="008721F5"/>
    <w:rsid w:val="00884C44"/>
    <w:rsid w:val="00885BD4"/>
    <w:rsid w:val="008A5BB8"/>
    <w:rsid w:val="008B42C6"/>
    <w:rsid w:val="008B7479"/>
    <w:rsid w:val="008E037C"/>
    <w:rsid w:val="008E3F9B"/>
    <w:rsid w:val="009061E7"/>
    <w:rsid w:val="009107BB"/>
    <w:rsid w:val="00930301"/>
    <w:rsid w:val="00941387"/>
    <w:rsid w:val="00943360"/>
    <w:rsid w:val="009537D2"/>
    <w:rsid w:val="009543C6"/>
    <w:rsid w:val="00955636"/>
    <w:rsid w:val="009A62B5"/>
    <w:rsid w:val="009B4B57"/>
    <w:rsid w:val="009D71EF"/>
    <w:rsid w:val="00A37F55"/>
    <w:rsid w:val="00A44165"/>
    <w:rsid w:val="00A467C9"/>
    <w:rsid w:val="00A544A0"/>
    <w:rsid w:val="00A6168A"/>
    <w:rsid w:val="00A67906"/>
    <w:rsid w:val="00A70B9F"/>
    <w:rsid w:val="00A753A2"/>
    <w:rsid w:val="00A92AEB"/>
    <w:rsid w:val="00AB1ACA"/>
    <w:rsid w:val="00AB38A2"/>
    <w:rsid w:val="00AB565C"/>
    <w:rsid w:val="00AD0A69"/>
    <w:rsid w:val="00AD34CA"/>
    <w:rsid w:val="00AE46BE"/>
    <w:rsid w:val="00B07ED8"/>
    <w:rsid w:val="00B2062B"/>
    <w:rsid w:val="00B73831"/>
    <w:rsid w:val="00BA5893"/>
    <w:rsid w:val="00BA747F"/>
    <w:rsid w:val="00BB1BD8"/>
    <w:rsid w:val="00BB7568"/>
    <w:rsid w:val="00BD70FA"/>
    <w:rsid w:val="00BE3B4C"/>
    <w:rsid w:val="00BF7811"/>
    <w:rsid w:val="00C3299D"/>
    <w:rsid w:val="00C45FB6"/>
    <w:rsid w:val="00C53265"/>
    <w:rsid w:val="00C715C7"/>
    <w:rsid w:val="00CB71DD"/>
    <w:rsid w:val="00CD5C26"/>
    <w:rsid w:val="00D46274"/>
    <w:rsid w:val="00D50AAE"/>
    <w:rsid w:val="00D52581"/>
    <w:rsid w:val="00D81AFB"/>
    <w:rsid w:val="00D84FDD"/>
    <w:rsid w:val="00DB26CF"/>
    <w:rsid w:val="00DC426C"/>
    <w:rsid w:val="00DD1A94"/>
    <w:rsid w:val="00DF04AE"/>
    <w:rsid w:val="00DF1CFB"/>
    <w:rsid w:val="00DF22A4"/>
    <w:rsid w:val="00E14A7E"/>
    <w:rsid w:val="00E22A19"/>
    <w:rsid w:val="00E4077A"/>
    <w:rsid w:val="00E627DE"/>
    <w:rsid w:val="00E83A80"/>
    <w:rsid w:val="00E939BA"/>
    <w:rsid w:val="00ED6B89"/>
    <w:rsid w:val="00EE0404"/>
    <w:rsid w:val="00EF5962"/>
    <w:rsid w:val="00F12C82"/>
    <w:rsid w:val="00F22DBB"/>
    <w:rsid w:val="00F32E01"/>
    <w:rsid w:val="00F342EC"/>
    <w:rsid w:val="00F4059E"/>
    <w:rsid w:val="00F664A1"/>
    <w:rsid w:val="00F970C7"/>
    <w:rsid w:val="00FA30AC"/>
    <w:rsid w:val="00FA4F1D"/>
    <w:rsid w:val="00FB5DE0"/>
    <w:rsid w:val="00FD340D"/>
    <w:rsid w:val="00FE25B1"/>
    <w:rsid w:val="00FE27C5"/>
    <w:rsid w:val="00FE39E6"/>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docId w15:val="{30B9669E-F7E7-4AA0-A4E2-2FAE21D3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55"/>
    <w:pPr>
      <w:widowControl w:val="0"/>
      <w:autoSpaceDE w:val="0"/>
      <w:autoSpaceDN w:val="0"/>
      <w:adjustRightInd w:val="0"/>
    </w:pPr>
    <w:rPr>
      <w:sz w:val="24"/>
      <w:szCs w:val="24"/>
    </w:rPr>
  </w:style>
  <w:style w:type="paragraph" w:styleId="Heading2">
    <w:name w:val="heading 2"/>
    <w:basedOn w:val="Normal"/>
    <w:next w:val="Normal"/>
    <w:link w:val="Heading2Char"/>
    <w:unhideWhenUsed/>
    <w:qFormat/>
    <w:rsid w:val="000F38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DD1A94"/>
    <w:pPr>
      <w:widowControl/>
      <w:autoSpaceDE/>
      <w:autoSpaceDN/>
      <w:adjustRightInd/>
      <w:spacing w:before="100" w:beforeAutospacing="1" w:after="100" w:afterAutospacing="1"/>
      <w:outlineLvl w:val="2"/>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uiPriority w:val="99"/>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ascii="Arial" w:hAnsi="Arial" w:cs="Arial"/>
      <w:color w:val="000000"/>
      <w:sz w:val="2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paragraph" w:customStyle="1" w:styleId="Level1">
    <w:name w:val="Level 1"/>
    <w:basedOn w:val="Normal"/>
    <w:uiPriority w:val="99"/>
    <w:rsid w:val="00FA30AC"/>
    <w:pPr>
      <w:numPr>
        <w:numId w:val="7"/>
      </w:numPr>
      <w:ind w:left="144" w:hanging="144"/>
      <w:outlineLvl w:val="0"/>
    </w:pPr>
  </w:style>
  <w:style w:type="character" w:customStyle="1" w:styleId="Hypertext">
    <w:name w:val="Hypertext"/>
    <w:uiPriority w:val="99"/>
    <w:rsid w:val="00FA30AC"/>
    <w:rPr>
      <w:color w:val="0000FF"/>
      <w:u w:val="single"/>
    </w:rPr>
  </w:style>
  <w:style w:type="character" w:customStyle="1" w:styleId="Heading3Char">
    <w:name w:val="Heading 3 Char"/>
    <w:basedOn w:val="DefaultParagraphFont"/>
    <w:link w:val="Heading3"/>
    <w:rsid w:val="00DD1A94"/>
    <w:rPr>
      <w:rFonts w:ascii="Arial" w:hAnsi="Arial" w:cs="Arial"/>
      <w:b/>
      <w:bCs/>
      <w:color w:val="000000"/>
      <w:sz w:val="28"/>
      <w:szCs w:val="28"/>
    </w:rPr>
  </w:style>
  <w:style w:type="paragraph" w:styleId="ListParagraph">
    <w:name w:val="List Paragraph"/>
    <w:basedOn w:val="Normal"/>
    <w:uiPriority w:val="34"/>
    <w:qFormat/>
    <w:rsid w:val="00330877"/>
    <w:pPr>
      <w:widowControl/>
      <w:autoSpaceDE/>
      <w:autoSpaceDN/>
      <w:adjustRightInd/>
      <w:ind w:left="720"/>
    </w:pPr>
  </w:style>
  <w:style w:type="paragraph" w:styleId="NoSpacing">
    <w:name w:val="No Spacing"/>
    <w:uiPriority w:val="1"/>
    <w:qFormat/>
    <w:rsid w:val="001443FC"/>
    <w:rPr>
      <w:rFonts w:asciiTheme="minorHAnsi" w:eastAsiaTheme="minorHAnsi" w:hAnsiTheme="minorHAnsi" w:cstheme="minorBidi"/>
      <w:sz w:val="22"/>
      <w:szCs w:val="22"/>
    </w:rPr>
  </w:style>
  <w:style w:type="paragraph" w:customStyle="1" w:styleId="Default">
    <w:name w:val="Default"/>
    <w:rsid w:val="00BA5893"/>
    <w:pPr>
      <w:autoSpaceDE w:val="0"/>
      <w:autoSpaceDN w:val="0"/>
      <w:adjustRightInd w:val="0"/>
    </w:pPr>
    <w:rPr>
      <w:rFonts w:ascii="Constantia" w:eastAsiaTheme="minorHAnsi" w:hAnsi="Constantia" w:cs="Constantia"/>
      <w:color w:val="000000"/>
      <w:sz w:val="24"/>
      <w:szCs w:val="24"/>
    </w:rPr>
  </w:style>
  <w:style w:type="character" w:customStyle="1" w:styleId="Heading2Char">
    <w:name w:val="Heading 2 Char"/>
    <w:basedOn w:val="DefaultParagraphFont"/>
    <w:link w:val="Heading2"/>
    <w:rsid w:val="000F38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4448">
      <w:bodyDiv w:val="1"/>
      <w:marLeft w:val="0"/>
      <w:marRight w:val="0"/>
      <w:marTop w:val="0"/>
      <w:marBottom w:val="0"/>
      <w:divBdr>
        <w:top w:val="none" w:sz="0" w:space="0" w:color="auto"/>
        <w:left w:val="none" w:sz="0" w:space="0" w:color="auto"/>
        <w:bottom w:val="none" w:sz="0" w:space="0" w:color="auto"/>
        <w:right w:val="none" w:sz="0" w:space="0" w:color="auto"/>
      </w:divBdr>
      <w:divsChild>
        <w:div w:id="974290860">
          <w:marLeft w:val="0"/>
          <w:marRight w:val="0"/>
          <w:marTop w:val="0"/>
          <w:marBottom w:val="0"/>
          <w:divBdr>
            <w:top w:val="none" w:sz="0" w:space="0" w:color="auto"/>
            <w:left w:val="none" w:sz="0" w:space="0" w:color="auto"/>
            <w:bottom w:val="none" w:sz="0" w:space="0" w:color="auto"/>
            <w:right w:val="none" w:sz="0" w:space="0" w:color="auto"/>
          </w:divBdr>
          <w:divsChild>
            <w:div w:id="1492990311">
              <w:marLeft w:val="0"/>
              <w:marRight w:val="0"/>
              <w:marTop w:val="0"/>
              <w:marBottom w:val="0"/>
              <w:divBdr>
                <w:top w:val="none" w:sz="0" w:space="0" w:color="auto"/>
                <w:left w:val="none" w:sz="0" w:space="0" w:color="auto"/>
                <w:bottom w:val="none" w:sz="0" w:space="0" w:color="auto"/>
                <w:right w:val="none" w:sz="0" w:space="0" w:color="auto"/>
              </w:divBdr>
              <w:divsChild>
                <w:div w:id="1023017049">
                  <w:marLeft w:val="150"/>
                  <w:marRight w:val="150"/>
                  <w:marTop w:val="0"/>
                  <w:marBottom w:val="0"/>
                  <w:divBdr>
                    <w:top w:val="none" w:sz="0" w:space="0" w:color="auto"/>
                    <w:left w:val="none" w:sz="0" w:space="0" w:color="auto"/>
                    <w:bottom w:val="none" w:sz="0" w:space="0" w:color="auto"/>
                    <w:right w:val="none" w:sz="0" w:space="0" w:color="auto"/>
                  </w:divBdr>
                  <w:divsChild>
                    <w:div w:id="2020965993">
                      <w:marLeft w:val="0"/>
                      <w:marRight w:val="0"/>
                      <w:marTop w:val="0"/>
                      <w:marBottom w:val="0"/>
                      <w:divBdr>
                        <w:top w:val="none" w:sz="0" w:space="0" w:color="auto"/>
                        <w:left w:val="none" w:sz="0" w:space="0" w:color="auto"/>
                        <w:bottom w:val="none" w:sz="0" w:space="0" w:color="auto"/>
                        <w:right w:val="none" w:sz="0" w:space="0" w:color="auto"/>
                      </w:divBdr>
                      <w:divsChild>
                        <w:div w:id="18997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85790">
      <w:bodyDiv w:val="1"/>
      <w:marLeft w:val="0"/>
      <w:marRight w:val="0"/>
      <w:marTop w:val="0"/>
      <w:marBottom w:val="0"/>
      <w:divBdr>
        <w:top w:val="none" w:sz="0" w:space="0" w:color="auto"/>
        <w:left w:val="none" w:sz="0" w:space="0" w:color="auto"/>
        <w:bottom w:val="none" w:sz="0" w:space="0" w:color="auto"/>
        <w:right w:val="none" w:sz="0" w:space="0" w:color="auto"/>
      </w:divBdr>
    </w:div>
    <w:div w:id="362096369">
      <w:bodyDiv w:val="1"/>
      <w:marLeft w:val="0"/>
      <w:marRight w:val="0"/>
      <w:marTop w:val="0"/>
      <w:marBottom w:val="0"/>
      <w:divBdr>
        <w:top w:val="none" w:sz="0" w:space="0" w:color="auto"/>
        <w:left w:val="none" w:sz="0" w:space="0" w:color="auto"/>
        <w:bottom w:val="none" w:sz="0" w:space="0" w:color="auto"/>
        <w:right w:val="none" w:sz="0" w:space="0" w:color="auto"/>
      </w:divBdr>
      <w:divsChild>
        <w:div w:id="1054739651">
          <w:marLeft w:val="0"/>
          <w:marRight w:val="0"/>
          <w:marTop w:val="0"/>
          <w:marBottom w:val="0"/>
          <w:divBdr>
            <w:top w:val="none" w:sz="0" w:space="0" w:color="auto"/>
            <w:left w:val="none" w:sz="0" w:space="0" w:color="auto"/>
            <w:bottom w:val="none" w:sz="0" w:space="0" w:color="auto"/>
            <w:right w:val="none" w:sz="0" w:space="0" w:color="auto"/>
          </w:divBdr>
          <w:divsChild>
            <w:div w:id="1188713963">
              <w:marLeft w:val="0"/>
              <w:marRight w:val="0"/>
              <w:marTop w:val="0"/>
              <w:marBottom w:val="0"/>
              <w:divBdr>
                <w:top w:val="none" w:sz="0" w:space="0" w:color="auto"/>
                <w:left w:val="none" w:sz="0" w:space="0" w:color="auto"/>
                <w:bottom w:val="none" w:sz="0" w:space="0" w:color="auto"/>
                <w:right w:val="none" w:sz="0" w:space="0" w:color="auto"/>
              </w:divBdr>
              <w:divsChild>
                <w:div w:id="1062827028">
                  <w:marLeft w:val="150"/>
                  <w:marRight w:val="150"/>
                  <w:marTop w:val="0"/>
                  <w:marBottom w:val="0"/>
                  <w:divBdr>
                    <w:top w:val="none" w:sz="0" w:space="0" w:color="auto"/>
                    <w:left w:val="none" w:sz="0" w:space="0" w:color="auto"/>
                    <w:bottom w:val="none" w:sz="0" w:space="0" w:color="auto"/>
                    <w:right w:val="none" w:sz="0" w:space="0" w:color="auto"/>
                  </w:divBdr>
                  <w:divsChild>
                    <w:div w:id="1825781388">
                      <w:marLeft w:val="0"/>
                      <w:marRight w:val="0"/>
                      <w:marTop w:val="0"/>
                      <w:marBottom w:val="0"/>
                      <w:divBdr>
                        <w:top w:val="none" w:sz="0" w:space="0" w:color="auto"/>
                        <w:left w:val="none" w:sz="0" w:space="0" w:color="auto"/>
                        <w:bottom w:val="none" w:sz="0" w:space="0" w:color="auto"/>
                        <w:right w:val="none" w:sz="0" w:space="0" w:color="auto"/>
                      </w:divBdr>
                      <w:divsChild>
                        <w:div w:id="193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94387">
      <w:bodyDiv w:val="1"/>
      <w:marLeft w:val="0"/>
      <w:marRight w:val="0"/>
      <w:marTop w:val="0"/>
      <w:marBottom w:val="0"/>
      <w:divBdr>
        <w:top w:val="none" w:sz="0" w:space="0" w:color="auto"/>
        <w:left w:val="none" w:sz="0" w:space="0" w:color="auto"/>
        <w:bottom w:val="none" w:sz="0" w:space="0" w:color="auto"/>
        <w:right w:val="none" w:sz="0" w:space="0" w:color="auto"/>
      </w:divBdr>
    </w:div>
    <w:div w:id="529487683">
      <w:bodyDiv w:val="1"/>
      <w:marLeft w:val="0"/>
      <w:marRight w:val="0"/>
      <w:marTop w:val="0"/>
      <w:marBottom w:val="0"/>
      <w:divBdr>
        <w:top w:val="none" w:sz="0" w:space="0" w:color="auto"/>
        <w:left w:val="none" w:sz="0" w:space="0" w:color="auto"/>
        <w:bottom w:val="none" w:sz="0" w:space="0" w:color="auto"/>
        <w:right w:val="none" w:sz="0" w:space="0" w:color="auto"/>
      </w:divBdr>
      <w:divsChild>
        <w:div w:id="1629967050">
          <w:marLeft w:val="0"/>
          <w:marRight w:val="0"/>
          <w:marTop w:val="0"/>
          <w:marBottom w:val="0"/>
          <w:divBdr>
            <w:top w:val="none" w:sz="0" w:space="0" w:color="auto"/>
            <w:left w:val="none" w:sz="0" w:space="0" w:color="auto"/>
            <w:bottom w:val="none" w:sz="0" w:space="0" w:color="auto"/>
            <w:right w:val="none" w:sz="0" w:space="0" w:color="auto"/>
          </w:divBdr>
          <w:divsChild>
            <w:div w:id="1735228334">
              <w:marLeft w:val="0"/>
              <w:marRight w:val="0"/>
              <w:marTop w:val="0"/>
              <w:marBottom w:val="0"/>
              <w:divBdr>
                <w:top w:val="none" w:sz="0" w:space="0" w:color="auto"/>
                <w:left w:val="none" w:sz="0" w:space="0" w:color="auto"/>
                <w:bottom w:val="none" w:sz="0" w:space="0" w:color="auto"/>
                <w:right w:val="none" w:sz="0" w:space="0" w:color="auto"/>
              </w:divBdr>
              <w:divsChild>
                <w:div w:id="930893432">
                  <w:marLeft w:val="150"/>
                  <w:marRight w:val="150"/>
                  <w:marTop w:val="0"/>
                  <w:marBottom w:val="0"/>
                  <w:divBdr>
                    <w:top w:val="none" w:sz="0" w:space="0" w:color="auto"/>
                    <w:left w:val="none" w:sz="0" w:space="0" w:color="auto"/>
                    <w:bottom w:val="none" w:sz="0" w:space="0" w:color="auto"/>
                    <w:right w:val="none" w:sz="0" w:space="0" w:color="auto"/>
                  </w:divBdr>
                  <w:divsChild>
                    <w:div w:id="1758285724">
                      <w:marLeft w:val="0"/>
                      <w:marRight w:val="0"/>
                      <w:marTop w:val="0"/>
                      <w:marBottom w:val="0"/>
                      <w:divBdr>
                        <w:top w:val="none" w:sz="0" w:space="0" w:color="auto"/>
                        <w:left w:val="none" w:sz="0" w:space="0" w:color="auto"/>
                        <w:bottom w:val="none" w:sz="0" w:space="0" w:color="auto"/>
                        <w:right w:val="none" w:sz="0" w:space="0" w:color="auto"/>
                      </w:divBdr>
                      <w:divsChild>
                        <w:div w:id="3263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0498">
      <w:bodyDiv w:val="1"/>
      <w:marLeft w:val="0"/>
      <w:marRight w:val="0"/>
      <w:marTop w:val="0"/>
      <w:marBottom w:val="0"/>
      <w:divBdr>
        <w:top w:val="none" w:sz="0" w:space="0" w:color="auto"/>
        <w:left w:val="none" w:sz="0" w:space="0" w:color="auto"/>
        <w:bottom w:val="none" w:sz="0" w:space="0" w:color="auto"/>
        <w:right w:val="none" w:sz="0" w:space="0" w:color="auto"/>
      </w:divBdr>
    </w:div>
    <w:div w:id="766968483">
      <w:bodyDiv w:val="1"/>
      <w:marLeft w:val="0"/>
      <w:marRight w:val="0"/>
      <w:marTop w:val="0"/>
      <w:marBottom w:val="0"/>
      <w:divBdr>
        <w:top w:val="none" w:sz="0" w:space="0" w:color="auto"/>
        <w:left w:val="none" w:sz="0" w:space="0" w:color="auto"/>
        <w:bottom w:val="none" w:sz="0" w:space="0" w:color="auto"/>
        <w:right w:val="none" w:sz="0" w:space="0" w:color="auto"/>
      </w:divBdr>
      <w:divsChild>
        <w:div w:id="1414859321">
          <w:marLeft w:val="0"/>
          <w:marRight w:val="0"/>
          <w:marTop w:val="0"/>
          <w:marBottom w:val="0"/>
          <w:divBdr>
            <w:top w:val="none" w:sz="0" w:space="0" w:color="auto"/>
            <w:left w:val="none" w:sz="0" w:space="0" w:color="auto"/>
            <w:bottom w:val="none" w:sz="0" w:space="0" w:color="auto"/>
            <w:right w:val="none" w:sz="0" w:space="0" w:color="auto"/>
          </w:divBdr>
          <w:divsChild>
            <w:div w:id="485512537">
              <w:marLeft w:val="0"/>
              <w:marRight w:val="0"/>
              <w:marTop w:val="0"/>
              <w:marBottom w:val="0"/>
              <w:divBdr>
                <w:top w:val="none" w:sz="0" w:space="0" w:color="auto"/>
                <w:left w:val="none" w:sz="0" w:space="0" w:color="auto"/>
                <w:bottom w:val="none" w:sz="0" w:space="0" w:color="auto"/>
                <w:right w:val="none" w:sz="0" w:space="0" w:color="auto"/>
              </w:divBdr>
              <w:divsChild>
                <w:div w:id="1365442898">
                  <w:marLeft w:val="150"/>
                  <w:marRight w:val="150"/>
                  <w:marTop w:val="0"/>
                  <w:marBottom w:val="0"/>
                  <w:divBdr>
                    <w:top w:val="none" w:sz="0" w:space="0" w:color="auto"/>
                    <w:left w:val="none" w:sz="0" w:space="0" w:color="auto"/>
                    <w:bottom w:val="none" w:sz="0" w:space="0" w:color="auto"/>
                    <w:right w:val="none" w:sz="0" w:space="0" w:color="auto"/>
                  </w:divBdr>
                  <w:divsChild>
                    <w:div w:id="1456362143">
                      <w:marLeft w:val="0"/>
                      <w:marRight w:val="0"/>
                      <w:marTop w:val="0"/>
                      <w:marBottom w:val="0"/>
                      <w:divBdr>
                        <w:top w:val="none" w:sz="0" w:space="0" w:color="auto"/>
                        <w:left w:val="none" w:sz="0" w:space="0" w:color="auto"/>
                        <w:bottom w:val="none" w:sz="0" w:space="0" w:color="auto"/>
                        <w:right w:val="none" w:sz="0" w:space="0" w:color="auto"/>
                      </w:divBdr>
                      <w:divsChild>
                        <w:div w:id="13953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00406">
      <w:bodyDiv w:val="1"/>
      <w:marLeft w:val="0"/>
      <w:marRight w:val="0"/>
      <w:marTop w:val="0"/>
      <w:marBottom w:val="0"/>
      <w:divBdr>
        <w:top w:val="none" w:sz="0" w:space="0" w:color="auto"/>
        <w:left w:val="none" w:sz="0" w:space="0" w:color="auto"/>
        <w:bottom w:val="none" w:sz="0" w:space="0" w:color="auto"/>
        <w:right w:val="none" w:sz="0" w:space="0" w:color="auto"/>
      </w:divBdr>
    </w:div>
    <w:div w:id="1146970482">
      <w:bodyDiv w:val="1"/>
      <w:marLeft w:val="0"/>
      <w:marRight w:val="0"/>
      <w:marTop w:val="0"/>
      <w:marBottom w:val="0"/>
      <w:divBdr>
        <w:top w:val="none" w:sz="0" w:space="0" w:color="auto"/>
        <w:left w:val="none" w:sz="0" w:space="0" w:color="auto"/>
        <w:bottom w:val="none" w:sz="0" w:space="0" w:color="auto"/>
        <w:right w:val="none" w:sz="0" w:space="0" w:color="auto"/>
      </w:divBdr>
    </w:div>
    <w:div w:id="1255089894">
      <w:bodyDiv w:val="1"/>
      <w:marLeft w:val="0"/>
      <w:marRight w:val="0"/>
      <w:marTop w:val="0"/>
      <w:marBottom w:val="0"/>
      <w:divBdr>
        <w:top w:val="none" w:sz="0" w:space="0" w:color="auto"/>
        <w:left w:val="none" w:sz="0" w:space="0" w:color="auto"/>
        <w:bottom w:val="none" w:sz="0" w:space="0" w:color="auto"/>
        <w:right w:val="none" w:sz="0" w:space="0" w:color="auto"/>
      </w:divBdr>
    </w:div>
    <w:div w:id="1817144502">
      <w:bodyDiv w:val="1"/>
      <w:marLeft w:val="0"/>
      <w:marRight w:val="0"/>
      <w:marTop w:val="0"/>
      <w:marBottom w:val="0"/>
      <w:divBdr>
        <w:top w:val="none" w:sz="0" w:space="0" w:color="auto"/>
        <w:left w:val="none" w:sz="0" w:space="0" w:color="auto"/>
        <w:bottom w:val="none" w:sz="0" w:space="0" w:color="auto"/>
        <w:right w:val="none" w:sz="0" w:space="0" w:color="auto"/>
      </w:divBdr>
    </w:div>
    <w:div w:id="2021394433">
      <w:bodyDiv w:val="1"/>
      <w:marLeft w:val="0"/>
      <w:marRight w:val="0"/>
      <w:marTop w:val="0"/>
      <w:marBottom w:val="0"/>
      <w:divBdr>
        <w:top w:val="none" w:sz="0" w:space="0" w:color="auto"/>
        <w:left w:val="none" w:sz="0" w:space="0" w:color="auto"/>
        <w:bottom w:val="none" w:sz="0" w:space="0" w:color="auto"/>
        <w:right w:val="none" w:sz="0" w:space="0" w:color="auto"/>
      </w:divBdr>
      <w:divsChild>
        <w:div w:id="36007493">
          <w:marLeft w:val="0"/>
          <w:marRight w:val="0"/>
          <w:marTop w:val="0"/>
          <w:marBottom w:val="0"/>
          <w:divBdr>
            <w:top w:val="none" w:sz="0" w:space="0" w:color="auto"/>
            <w:left w:val="none" w:sz="0" w:space="0" w:color="auto"/>
            <w:bottom w:val="none" w:sz="0" w:space="0" w:color="auto"/>
            <w:right w:val="none" w:sz="0" w:space="0" w:color="auto"/>
          </w:divBdr>
          <w:divsChild>
            <w:div w:id="1107503724">
              <w:marLeft w:val="0"/>
              <w:marRight w:val="0"/>
              <w:marTop w:val="0"/>
              <w:marBottom w:val="0"/>
              <w:divBdr>
                <w:top w:val="none" w:sz="0" w:space="0" w:color="auto"/>
                <w:left w:val="none" w:sz="0" w:space="0" w:color="auto"/>
                <w:bottom w:val="none" w:sz="0" w:space="0" w:color="auto"/>
                <w:right w:val="none" w:sz="0" w:space="0" w:color="auto"/>
              </w:divBdr>
              <w:divsChild>
                <w:div w:id="1993869714">
                  <w:marLeft w:val="150"/>
                  <w:marRight w:val="150"/>
                  <w:marTop w:val="0"/>
                  <w:marBottom w:val="0"/>
                  <w:divBdr>
                    <w:top w:val="none" w:sz="0" w:space="0" w:color="auto"/>
                    <w:left w:val="none" w:sz="0" w:space="0" w:color="auto"/>
                    <w:bottom w:val="none" w:sz="0" w:space="0" w:color="auto"/>
                    <w:right w:val="none" w:sz="0" w:space="0" w:color="auto"/>
                  </w:divBdr>
                  <w:divsChild>
                    <w:div w:id="1184323520">
                      <w:marLeft w:val="0"/>
                      <w:marRight w:val="0"/>
                      <w:marTop w:val="0"/>
                      <w:marBottom w:val="0"/>
                      <w:divBdr>
                        <w:top w:val="none" w:sz="0" w:space="0" w:color="auto"/>
                        <w:left w:val="none" w:sz="0" w:space="0" w:color="auto"/>
                        <w:bottom w:val="none" w:sz="0" w:space="0" w:color="auto"/>
                        <w:right w:val="none" w:sz="0" w:space="0" w:color="auto"/>
                      </w:divBdr>
                      <w:divsChild>
                        <w:div w:id="820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65417">
      <w:bodyDiv w:val="1"/>
      <w:marLeft w:val="0"/>
      <w:marRight w:val="0"/>
      <w:marTop w:val="0"/>
      <w:marBottom w:val="0"/>
      <w:divBdr>
        <w:top w:val="none" w:sz="0" w:space="0" w:color="auto"/>
        <w:left w:val="none" w:sz="0" w:space="0" w:color="auto"/>
        <w:bottom w:val="none" w:sz="0" w:space="0" w:color="auto"/>
        <w:right w:val="none" w:sz="0" w:space="0" w:color="auto"/>
      </w:divBdr>
      <w:divsChild>
        <w:div w:id="516891624">
          <w:marLeft w:val="0"/>
          <w:marRight w:val="0"/>
          <w:marTop w:val="0"/>
          <w:marBottom w:val="0"/>
          <w:divBdr>
            <w:top w:val="none" w:sz="0" w:space="0" w:color="auto"/>
            <w:left w:val="none" w:sz="0" w:space="0" w:color="auto"/>
            <w:bottom w:val="none" w:sz="0" w:space="0" w:color="auto"/>
            <w:right w:val="none" w:sz="0" w:space="0" w:color="auto"/>
          </w:divBdr>
          <w:divsChild>
            <w:div w:id="2096121942">
              <w:marLeft w:val="0"/>
              <w:marRight w:val="0"/>
              <w:marTop w:val="0"/>
              <w:marBottom w:val="0"/>
              <w:divBdr>
                <w:top w:val="none" w:sz="0" w:space="0" w:color="auto"/>
                <w:left w:val="none" w:sz="0" w:space="0" w:color="auto"/>
                <w:bottom w:val="none" w:sz="0" w:space="0" w:color="auto"/>
                <w:right w:val="none" w:sz="0" w:space="0" w:color="auto"/>
              </w:divBdr>
              <w:divsChild>
                <w:div w:id="155389179">
                  <w:marLeft w:val="150"/>
                  <w:marRight w:val="150"/>
                  <w:marTop w:val="0"/>
                  <w:marBottom w:val="0"/>
                  <w:divBdr>
                    <w:top w:val="none" w:sz="0" w:space="0" w:color="auto"/>
                    <w:left w:val="none" w:sz="0" w:space="0" w:color="auto"/>
                    <w:bottom w:val="none" w:sz="0" w:space="0" w:color="auto"/>
                    <w:right w:val="none" w:sz="0" w:space="0" w:color="auto"/>
                  </w:divBdr>
                  <w:divsChild>
                    <w:div w:id="1646543410">
                      <w:marLeft w:val="0"/>
                      <w:marRight w:val="0"/>
                      <w:marTop w:val="0"/>
                      <w:marBottom w:val="0"/>
                      <w:divBdr>
                        <w:top w:val="none" w:sz="0" w:space="0" w:color="auto"/>
                        <w:left w:val="none" w:sz="0" w:space="0" w:color="auto"/>
                        <w:bottom w:val="none" w:sz="0" w:space="0" w:color="auto"/>
                        <w:right w:val="none" w:sz="0" w:space="0" w:color="auto"/>
                      </w:divBdr>
                      <w:divsChild>
                        <w:div w:id="12994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epa.gov/sites/production/files/documents/renovaterightbrochu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8054-F7C9-473C-AE5A-C658952F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4721</CharactersWithSpaces>
  <SharedDoc>false</SharedDoc>
  <HLinks>
    <vt:vector size="6" baseType="variant">
      <vt:variant>
        <vt:i4>4587566</vt:i4>
      </vt:variant>
      <vt:variant>
        <vt:i4>0</vt:i4>
      </vt:variant>
      <vt:variant>
        <vt:i4>0</vt:i4>
      </vt:variant>
      <vt:variant>
        <vt:i4>5</vt:i4>
      </vt:variant>
      <vt:variant>
        <vt:lpwstr>mailto:bornholm.jon@epa.gov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McDonald, Jason</cp:lastModifiedBy>
  <cp:revision>3</cp:revision>
  <cp:lastPrinted>2014-09-09T18:58:00Z</cp:lastPrinted>
  <dcterms:created xsi:type="dcterms:W3CDTF">2014-12-19T20:37:00Z</dcterms:created>
  <dcterms:modified xsi:type="dcterms:W3CDTF">2014-12-19T20:46:00Z</dcterms:modified>
</cp:coreProperties>
</file>